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86" w:rsidRDefault="002F2886" w:rsidP="002F2886">
      <w:pPr>
        <w:spacing w:after="0"/>
        <w:rPr>
          <w:rFonts w:ascii="Verdana" w:hAnsi="Verdana"/>
          <w:b/>
        </w:rPr>
      </w:pPr>
      <w:r w:rsidRPr="002F2886">
        <w:rPr>
          <w:rFonts w:ascii="Verdana" w:hAnsi="Verdana"/>
          <w:b/>
          <w:noProof/>
        </w:rPr>
        <w:drawing>
          <wp:anchor distT="0" distB="0" distL="114300" distR="114300" simplePos="0" relativeHeight="251658240" behindDoc="1" locked="0" layoutInCell="1" allowOverlap="1" wp14:anchorId="4E96D07B" wp14:editId="0AC8D574">
            <wp:simplePos x="0" y="0"/>
            <wp:positionH relativeFrom="column">
              <wp:posOffset>-152400</wp:posOffset>
            </wp:positionH>
            <wp:positionV relativeFrom="paragraph">
              <wp:posOffset>-238125</wp:posOffset>
            </wp:positionV>
            <wp:extent cx="1155065" cy="14954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1155065" cy="1495425"/>
                    </a:xfrm>
                    <a:prstGeom prst="rect">
                      <a:avLst/>
                    </a:prstGeom>
                  </pic:spPr>
                </pic:pic>
              </a:graphicData>
            </a:graphic>
          </wp:anchor>
        </w:drawing>
      </w:r>
    </w:p>
    <w:p w:rsidR="00FF0EB1" w:rsidRDefault="00FF0EB1" w:rsidP="00FF0EB1">
      <w:pPr>
        <w:spacing w:after="0"/>
        <w:rPr>
          <w:rFonts w:ascii="Verdana" w:hAnsi="Verdana"/>
          <w:b/>
          <w:sz w:val="18"/>
        </w:rPr>
      </w:pPr>
      <w:r>
        <w:rPr>
          <w:rFonts w:ascii="Verdana" w:hAnsi="Verdana"/>
          <w:b/>
          <w:sz w:val="18"/>
        </w:rPr>
        <w:t xml:space="preserve">                        </w:t>
      </w:r>
      <w:r w:rsidR="002F2886" w:rsidRPr="006B5AC7">
        <w:rPr>
          <w:rFonts w:ascii="Verdana" w:hAnsi="Verdana"/>
          <w:b/>
          <w:sz w:val="18"/>
        </w:rPr>
        <w:t>Erie</w:t>
      </w:r>
      <w:r>
        <w:rPr>
          <w:rFonts w:ascii="Verdana" w:hAnsi="Verdana"/>
          <w:b/>
          <w:sz w:val="18"/>
        </w:rPr>
        <w:t xml:space="preserve"> 2-Chautauqua-Cattaraugus BOCES</w:t>
      </w:r>
    </w:p>
    <w:p w:rsidR="002F2886" w:rsidRPr="00FF0EB1" w:rsidRDefault="0045516E" w:rsidP="00FF0EB1">
      <w:pPr>
        <w:spacing w:after="0"/>
        <w:rPr>
          <w:rFonts w:ascii="Verdana" w:hAnsi="Verdana"/>
          <w:b/>
          <w:sz w:val="18"/>
        </w:rPr>
      </w:pPr>
      <w:r>
        <w:rPr>
          <w:noProof/>
        </w:rPr>
        <mc:AlternateContent>
          <mc:Choice Requires="wps">
            <w:drawing>
              <wp:anchor distT="0" distB="0" distL="114300" distR="114300" simplePos="0" relativeHeight="251660288" behindDoc="0" locked="0" layoutInCell="1" allowOverlap="1" wp14:anchorId="78A846FF" wp14:editId="6AB8988C">
                <wp:simplePos x="0" y="0"/>
                <wp:positionH relativeFrom="column">
                  <wp:posOffset>3700780</wp:posOffset>
                </wp:positionH>
                <wp:positionV relativeFrom="paragraph">
                  <wp:posOffset>57150</wp:posOffset>
                </wp:positionV>
                <wp:extent cx="4070350" cy="456565"/>
                <wp:effectExtent l="0" t="876300" r="0" b="895985"/>
                <wp:wrapNone/>
                <wp:docPr id="3" name="Text Box 3"/>
                <wp:cNvGraphicFramePr/>
                <a:graphic xmlns:a="http://schemas.openxmlformats.org/drawingml/2006/main">
                  <a:graphicData uri="http://schemas.microsoft.com/office/word/2010/wordprocessingShape">
                    <wps:wsp>
                      <wps:cNvSpPr txBox="1"/>
                      <wps:spPr>
                        <a:xfrm rot="1632939">
                          <a:off x="0" y="0"/>
                          <a:ext cx="4070350" cy="456565"/>
                        </a:xfrm>
                        <a:prstGeom prst="rect">
                          <a:avLst/>
                        </a:prstGeom>
                        <a:noFill/>
                        <a:ln>
                          <a:noFill/>
                        </a:ln>
                        <a:effectLst/>
                      </wps:spPr>
                      <wps:txbx>
                        <w:txbxContent>
                          <w:p w:rsidR="000B0CCD" w:rsidRPr="004F1653" w:rsidRDefault="000B0CCD" w:rsidP="000B0CCD">
                            <w:pPr>
                              <w:jc w:val="center"/>
                              <w:rPr>
                                <w:rFonts w:ascii="Verdana" w:hAnsi="Verdana"/>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516E">
                              <w:rPr>
                                <w:rFonts w:ascii="Verdana" w:hAnsi="Verdana"/>
                                <w:b/>
                                <w:caps/>
                                <w:color w:val="F79646" w:themeColor="accent6"/>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Save the </w:t>
                            </w:r>
                            <w:r w:rsidRPr="0045516E">
                              <w:rPr>
                                <w:rFonts w:ascii="Verdana" w:hAnsi="Verdana"/>
                                <w:b/>
                                <w:caps/>
                                <w:outline/>
                                <w:color w:val="8064A2" w:themeColor="accent4"/>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Dates</w:t>
                            </w:r>
                            <w:r w:rsidR="0045516E">
                              <w:rPr>
                                <w:rFonts w:ascii="Verdana" w:hAnsi="Verdana"/>
                                <w:b/>
                                <w:caps/>
                                <w:outline/>
                                <w:color w:val="8064A2" w:themeColor="accent4"/>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4pt;margin-top:4.5pt;width:320.5pt;height:35.95pt;rotation:178360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" filled="f" stroked="f">
                <v:fill o:detectmouseclick="t"/>
                <v:textbox>
                  <w:txbxContent>
                    <w:p w:rsidR="000B0CCD" w:rsidRPr="004F1653" w:rsidRDefault="000B0CCD" w:rsidP="000B0CCD">
                      <w:pPr>
                        <w:jc w:val="center"/>
                        <w:rPr>
                          <w:rFonts w:ascii="Verdana" w:hAnsi="Verdana"/>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516E">
                        <w:rPr>
                          <w:rFonts w:ascii="Verdana" w:hAnsi="Verdana"/>
                          <w:b/>
                          <w:caps/>
                          <w:color w:val="F79646" w:themeColor="accent6"/>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Save the </w:t>
                      </w:r>
                      <w:r w:rsidRPr="0045516E">
                        <w:rPr>
                          <w:rFonts w:ascii="Verdana" w:hAnsi="Verdana"/>
                          <w:b/>
                          <w:caps/>
                          <w:outline/>
                          <w:color w:val="8064A2" w:themeColor="accent4"/>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Dates</w:t>
                      </w:r>
                      <w:r w:rsidR="0045516E">
                        <w:rPr>
                          <w:rFonts w:ascii="Verdana" w:hAnsi="Verdana"/>
                          <w:b/>
                          <w:caps/>
                          <w:outline/>
                          <w:color w:val="8064A2" w:themeColor="accent4"/>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r w:rsidR="00FF0EB1">
        <w:rPr>
          <w:rFonts w:ascii="Verdana" w:hAnsi="Verdana"/>
          <w:b/>
          <w:sz w:val="18"/>
        </w:rPr>
        <w:t xml:space="preserve">                        </w:t>
      </w:r>
      <w:r w:rsidR="002F2886" w:rsidRPr="006B5AC7">
        <w:rPr>
          <w:rFonts w:ascii="Verdana" w:hAnsi="Verdana"/>
          <w:b/>
          <w:sz w:val="18"/>
        </w:rPr>
        <w:t>Integrated Education Services</w:t>
      </w:r>
      <w:r w:rsidR="002F2886">
        <w:rPr>
          <w:rFonts w:ascii="Verdana" w:hAnsi="Verdana"/>
        </w:rPr>
        <w:br w:type="textWrapping" w:clear="all"/>
      </w:r>
    </w:p>
    <w:p w:rsidR="0026005F" w:rsidRDefault="002F2886" w:rsidP="002F2886">
      <w:pPr>
        <w:tabs>
          <w:tab w:val="left" w:pos="2625"/>
        </w:tabs>
        <w:rPr>
          <w:rFonts w:ascii="Verdana" w:hAnsi="Verdana"/>
          <w:sz w:val="32"/>
        </w:rPr>
      </w:pPr>
      <w:r>
        <w:rPr>
          <w:rFonts w:ascii="Verdana" w:hAnsi="Verdana"/>
        </w:rPr>
        <w:t xml:space="preserve">                            </w:t>
      </w:r>
      <w:r w:rsidR="006B5AC7">
        <w:rPr>
          <w:rFonts w:ascii="Verdana" w:hAnsi="Verdana"/>
        </w:rPr>
        <w:t xml:space="preserve">       </w:t>
      </w:r>
      <w:r w:rsidR="00FF0EB1">
        <w:rPr>
          <w:rFonts w:ascii="Verdana" w:hAnsi="Verdana"/>
        </w:rPr>
        <w:tab/>
      </w:r>
      <w:r w:rsidR="004F1653">
        <w:rPr>
          <w:rFonts w:ascii="Verdana" w:hAnsi="Verdana"/>
          <w:sz w:val="32"/>
        </w:rPr>
        <w:t xml:space="preserve">Summer </w:t>
      </w:r>
      <w:r w:rsidR="0092312C">
        <w:rPr>
          <w:rFonts w:ascii="Verdana" w:hAnsi="Verdana"/>
          <w:sz w:val="32"/>
        </w:rPr>
        <w:t xml:space="preserve">Leadership </w:t>
      </w:r>
      <w:r w:rsidR="004F1653">
        <w:rPr>
          <w:rFonts w:ascii="Verdana" w:hAnsi="Verdana"/>
          <w:sz w:val="32"/>
        </w:rPr>
        <w:t>“Boot Camps”</w:t>
      </w:r>
    </w:p>
    <w:p w:rsidR="004F1653" w:rsidRDefault="0092312C" w:rsidP="004F1653">
      <w:pPr>
        <w:tabs>
          <w:tab w:val="left" w:pos="2625"/>
        </w:tabs>
        <w:spacing w:after="0"/>
        <w:rPr>
          <w:rFonts w:ascii="Verdana" w:hAnsi="Verdana"/>
          <w:b/>
          <w:sz w:val="24"/>
        </w:rPr>
      </w:pPr>
      <w:r>
        <w:rPr>
          <w:rFonts w:ascii="Verdana" w:hAnsi="Verdana"/>
          <w:b/>
          <w:sz w:val="24"/>
        </w:rPr>
        <w:t>July 17</w:t>
      </w:r>
      <w:r w:rsidR="004F1653" w:rsidRPr="004F1653">
        <w:rPr>
          <w:rFonts w:ascii="Verdana" w:hAnsi="Verdana"/>
          <w:b/>
          <w:sz w:val="24"/>
        </w:rPr>
        <w:t>–20: Teacher Evaluation</w:t>
      </w:r>
    </w:p>
    <w:p w:rsidR="0045516E" w:rsidRDefault="004F1653" w:rsidP="004F1653">
      <w:pPr>
        <w:tabs>
          <w:tab w:val="left" w:pos="2625"/>
        </w:tabs>
        <w:spacing w:after="0"/>
        <w:rPr>
          <w:rFonts w:ascii="Verdana" w:hAnsi="Verdana"/>
          <w:sz w:val="24"/>
        </w:rPr>
      </w:pPr>
      <w:r>
        <w:rPr>
          <w:rFonts w:ascii="Verdana" w:hAnsi="Verdana"/>
          <w:sz w:val="24"/>
        </w:rPr>
        <w:t>Administrators will engage in activities to deepen their understanding of their district selected rubric for teacher APPR, including evidence based observation, rating teaching artifacts, providing feedback to teachers and links to the Student Learning Objectives process.</w:t>
      </w:r>
    </w:p>
    <w:p w:rsidR="0045516E" w:rsidRPr="0045516E" w:rsidRDefault="0045516E" w:rsidP="004F1653">
      <w:pPr>
        <w:tabs>
          <w:tab w:val="left" w:pos="2625"/>
        </w:tabs>
        <w:spacing w:after="0"/>
        <w:rPr>
          <w:rFonts w:ascii="Verdana" w:hAnsi="Verdana"/>
          <w:sz w:val="20"/>
        </w:rPr>
      </w:pPr>
    </w:p>
    <w:p w:rsidR="004F1653" w:rsidRPr="0045516E" w:rsidRDefault="004F1653" w:rsidP="004F1653">
      <w:pPr>
        <w:tabs>
          <w:tab w:val="left" w:pos="2625"/>
        </w:tabs>
        <w:spacing w:after="0"/>
        <w:rPr>
          <w:rFonts w:ascii="Verdana" w:hAnsi="Verdana"/>
          <w:sz w:val="20"/>
        </w:rPr>
      </w:pPr>
      <w:r w:rsidRPr="0045516E">
        <w:rPr>
          <w:rFonts w:ascii="Verdana" w:hAnsi="Verdana"/>
          <w:sz w:val="20"/>
        </w:rPr>
        <w:t>Participation will cover the following aspects of Lead Evaluator Certification:</w:t>
      </w:r>
    </w:p>
    <w:p w:rsidR="00FD07A0" w:rsidRPr="0045516E" w:rsidRDefault="00FD07A0" w:rsidP="00FD07A0">
      <w:pPr>
        <w:pStyle w:val="ListParagraph"/>
        <w:numPr>
          <w:ilvl w:val="0"/>
          <w:numId w:val="3"/>
        </w:numPr>
        <w:tabs>
          <w:tab w:val="left" w:pos="2625"/>
        </w:tabs>
        <w:spacing w:after="0"/>
        <w:rPr>
          <w:rFonts w:ascii="Verdana" w:hAnsi="Verdana"/>
          <w:sz w:val="20"/>
        </w:rPr>
      </w:pPr>
      <w:r w:rsidRPr="0045516E">
        <w:rPr>
          <w:rFonts w:ascii="Verdana" w:hAnsi="Verdana"/>
          <w:sz w:val="20"/>
        </w:rPr>
        <w:t>NYS Teaching Standards</w:t>
      </w:r>
    </w:p>
    <w:p w:rsidR="00FD07A0" w:rsidRPr="0045516E" w:rsidRDefault="00FD07A0" w:rsidP="00FD07A0">
      <w:pPr>
        <w:pStyle w:val="ListParagraph"/>
        <w:numPr>
          <w:ilvl w:val="0"/>
          <w:numId w:val="3"/>
        </w:numPr>
        <w:tabs>
          <w:tab w:val="left" w:pos="2625"/>
        </w:tabs>
        <w:spacing w:after="0"/>
        <w:rPr>
          <w:rFonts w:ascii="Verdana" w:hAnsi="Verdana"/>
          <w:sz w:val="20"/>
        </w:rPr>
      </w:pPr>
      <w:r w:rsidRPr="0045516E">
        <w:rPr>
          <w:rFonts w:ascii="Verdana" w:hAnsi="Verdana"/>
          <w:sz w:val="20"/>
        </w:rPr>
        <w:t>Evidence Based Observation Techniques</w:t>
      </w:r>
    </w:p>
    <w:p w:rsidR="00FD07A0" w:rsidRPr="0045516E" w:rsidRDefault="00FD07A0" w:rsidP="00FD07A0">
      <w:pPr>
        <w:pStyle w:val="ListParagraph"/>
        <w:numPr>
          <w:ilvl w:val="0"/>
          <w:numId w:val="3"/>
        </w:numPr>
        <w:tabs>
          <w:tab w:val="left" w:pos="2625"/>
        </w:tabs>
        <w:spacing w:after="0"/>
        <w:rPr>
          <w:rFonts w:ascii="Verdana" w:hAnsi="Verdana"/>
          <w:sz w:val="20"/>
        </w:rPr>
      </w:pPr>
      <w:r w:rsidRPr="0045516E">
        <w:rPr>
          <w:rFonts w:ascii="Verdana" w:hAnsi="Verdana"/>
          <w:sz w:val="20"/>
        </w:rPr>
        <w:t>Application of the student growth and value-added models</w:t>
      </w:r>
    </w:p>
    <w:p w:rsidR="00FD07A0" w:rsidRPr="0045516E" w:rsidRDefault="00FD07A0" w:rsidP="00FD07A0">
      <w:pPr>
        <w:pStyle w:val="ListParagraph"/>
        <w:numPr>
          <w:ilvl w:val="0"/>
          <w:numId w:val="3"/>
        </w:numPr>
        <w:tabs>
          <w:tab w:val="left" w:pos="2625"/>
        </w:tabs>
        <w:spacing w:after="0"/>
        <w:rPr>
          <w:rFonts w:ascii="Verdana" w:hAnsi="Verdana"/>
          <w:sz w:val="20"/>
        </w:rPr>
      </w:pPr>
      <w:r w:rsidRPr="0045516E">
        <w:rPr>
          <w:rFonts w:ascii="Verdana" w:hAnsi="Verdana"/>
          <w:sz w:val="20"/>
        </w:rPr>
        <w:t>Application and use of state approved teacher rubrics</w:t>
      </w:r>
    </w:p>
    <w:p w:rsidR="0092312C" w:rsidRPr="0092312C" w:rsidRDefault="0092312C" w:rsidP="0092312C">
      <w:pPr>
        <w:tabs>
          <w:tab w:val="left" w:pos="2625"/>
        </w:tabs>
        <w:spacing w:after="0"/>
        <w:ind w:left="360"/>
        <w:rPr>
          <w:rFonts w:ascii="Verdana" w:hAnsi="Verdana"/>
          <w:sz w:val="24"/>
        </w:rPr>
      </w:pPr>
      <w:r w:rsidRPr="0045516E">
        <w:rPr>
          <w:rFonts w:ascii="Verdana" w:hAnsi="Verdana"/>
          <w:sz w:val="20"/>
        </w:rPr>
        <w:t xml:space="preserve">(9)    </w:t>
      </w:r>
      <w:r w:rsidR="0045516E">
        <w:rPr>
          <w:rFonts w:ascii="Verdana" w:hAnsi="Verdana"/>
          <w:sz w:val="20"/>
        </w:rPr>
        <w:t xml:space="preserve">  </w:t>
      </w:r>
      <w:r w:rsidRPr="0045516E">
        <w:rPr>
          <w:rFonts w:ascii="Verdana" w:hAnsi="Verdana"/>
          <w:sz w:val="20"/>
        </w:rPr>
        <w:t>Specific considerations in evaluating teachers of ELL/Special Education students</w:t>
      </w:r>
    </w:p>
    <w:p w:rsidR="004F1653" w:rsidRPr="004F1653" w:rsidRDefault="004F1653" w:rsidP="004F1653">
      <w:pPr>
        <w:tabs>
          <w:tab w:val="left" w:pos="2625"/>
        </w:tabs>
        <w:spacing w:after="0"/>
        <w:rPr>
          <w:rFonts w:ascii="Verdana" w:hAnsi="Verdana"/>
          <w:b/>
          <w:sz w:val="24"/>
        </w:rPr>
      </w:pPr>
    </w:p>
    <w:p w:rsidR="004F1653" w:rsidRDefault="0092312C" w:rsidP="002F2886">
      <w:pPr>
        <w:tabs>
          <w:tab w:val="left" w:pos="2625"/>
        </w:tabs>
        <w:rPr>
          <w:rFonts w:ascii="Verdana" w:hAnsi="Verdana"/>
          <w:b/>
          <w:sz w:val="24"/>
        </w:rPr>
      </w:pPr>
      <w:r>
        <w:rPr>
          <w:rFonts w:ascii="Verdana" w:hAnsi="Verdana"/>
          <w:b/>
          <w:sz w:val="24"/>
        </w:rPr>
        <w:t>August 1</w:t>
      </w:r>
      <w:r w:rsidR="004F1653" w:rsidRPr="004F1653">
        <w:rPr>
          <w:rFonts w:ascii="Verdana" w:hAnsi="Verdana"/>
          <w:b/>
          <w:sz w:val="24"/>
        </w:rPr>
        <w:t>–3: Data and Inquiry</w:t>
      </w:r>
    </w:p>
    <w:p w:rsidR="0092312C" w:rsidRDefault="0092312C" w:rsidP="002F2886">
      <w:pPr>
        <w:tabs>
          <w:tab w:val="left" w:pos="2625"/>
        </w:tabs>
        <w:rPr>
          <w:rFonts w:ascii="Verdana" w:hAnsi="Verdana"/>
          <w:sz w:val="24"/>
        </w:rPr>
      </w:pPr>
      <w:r>
        <w:rPr>
          <w:rFonts w:ascii="Verdana" w:hAnsi="Verdana"/>
          <w:sz w:val="24"/>
        </w:rPr>
        <w:t>Administrators will engage in activities to deepen their understanding of data sources, use of data for instruction and for goal setting in the SLO process as well as how to facilitate data conversations and Inquiry Teams.</w:t>
      </w:r>
      <w:r w:rsidR="0045516E">
        <w:rPr>
          <w:rFonts w:ascii="Verdana" w:hAnsi="Verdana"/>
          <w:sz w:val="24"/>
        </w:rPr>
        <w:t xml:space="preserve">  Connections to the district selected teacher evaluation rubrics will be made explicit during the sessions.</w:t>
      </w:r>
    </w:p>
    <w:p w:rsidR="0092312C" w:rsidRPr="0045516E" w:rsidRDefault="0092312C" w:rsidP="0092312C">
      <w:pPr>
        <w:tabs>
          <w:tab w:val="left" w:pos="2625"/>
        </w:tabs>
        <w:spacing w:after="0"/>
        <w:rPr>
          <w:rFonts w:ascii="Verdana" w:hAnsi="Verdana"/>
          <w:sz w:val="20"/>
        </w:rPr>
      </w:pPr>
      <w:r w:rsidRPr="0045516E">
        <w:rPr>
          <w:rFonts w:ascii="Verdana" w:hAnsi="Verdana"/>
          <w:sz w:val="20"/>
        </w:rPr>
        <w:t>Participation will cover the following aspects of Lead Evaluator Certification:</w:t>
      </w:r>
    </w:p>
    <w:p w:rsidR="0092312C" w:rsidRPr="0045516E" w:rsidRDefault="0092312C" w:rsidP="0092312C">
      <w:pPr>
        <w:tabs>
          <w:tab w:val="left" w:pos="2625"/>
        </w:tabs>
        <w:spacing w:after="0"/>
        <w:rPr>
          <w:rFonts w:ascii="Verdana" w:hAnsi="Verdana"/>
          <w:sz w:val="20"/>
        </w:rPr>
      </w:pPr>
      <w:r w:rsidRPr="0045516E">
        <w:rPr>
          <w:rFonts w:ascii="Verdana" w:hAnsi="Verdana"/>
          <w:sz w:val="20"/>
        </w:rPr>
        <w:t xml:space="preserve">     (3) </w:t>
      </w:r>
      <w:r w:rsidRPr="0045516E">
        <w:rPr>
          <w:rFonts w:ascii="Verdana" w:hAnsi="Verdana"/>
          <w:sz w:val="20"/>
        </w:rPr>
        <w:t>Application of the student growth and value-added models</w:t>
      </w:r>
    </w:p>
    <w:p w:rsidR="0045516E" w:rsidRPr="0045516E" w:rsidRDefault="0045516E" w:rsidP="0092312C">
      <w:pPr>
        <w:tabs>
          <w:tab w:val="left" w:pos="2625"/>
        </w:tabs>
        <w:spacing w:after="0"/>
        <w:rPr>
          <w:rFonts w:ascii="Verdana" w:hAnsi="Verdana"/>
          <w:sz w:val="20"/>
        </w:rPr>
      </w:pPr>
      <w:r w:rsidRPr="0045516E">
        <w:rPr>
          <w:rFonts w:ascii="Verdana" w:hAnsi="Verdana"/>
          <w:sz w:val="20"/>
        </w:rPr>
        <w:t xml:space="preserve">     (4) Application and use of state approved teacher rubrics</w:t>
      </w:r>
    </w:p>
    <w:p w:rsidR="0092312C" w:rsidRPr="0045516E" w:rsidRDefault="0092312C" w:rsidP="0092312C">
      <w:pPr>
        <w:tabs>
          <w:tab w:val="left" w:pos="2625"/>
        </w:tabs>
        <w:spacing w:after="0"/>
        <w:rPr>
          <w:rFonts w:ascii="Verdana" w:hAnsi="Verdana"/>
          <w:sz w:val="20"/>
        </w:rPr>
      </w:pPr>
      <w:r w:rsidRPr="0045516E">
        <w:rPr>
          <w:rFonts w:ascii="Verdana" w:hAnsi="Verdana"/>
          <w:sz w:val="20"/>
        </w:rPr>
        <w:t xml:space="preserve">     (5) Application and use of assessment tools (</w:t>
      </w:r>
      <w:proofErr w:type="spellStart"/>
      <w:r w:rsidRPr="0045516E">
        <w:rPr>
          <w:rFonts w:ascii="Verdana" w:hAnsi="Verdana"/>
          <w:sz w:val="20"/>
        </w:rPr>
        <w:t>e.g</w:t>
      </w:r>
      <w:proofErr w:type="spellEnd"/>
      <w:r w:rsidRPr="0045516E">
        <w:rPr>
          <w:rFonts w:ascii="Verdana" w:hAnsi="Verdana"/>
          <w:sz w:val="20"/>
        </w:rPr>
        <w:t xml:space="preserve"> portfolios, surveys, goals)</w:t>
      </w:r>
    </w:p>
    <w:p w:rsidR="0092312C" w:rsidRPr="0045516E" w:rsidRDefault="0092312C" w:rsidP="0092312C">
      <w:pPr>
        <w:tabs>
          <w:tab w:val="left" w:pos="2625"/>
        </w:tabs>
        <w:spacing w:after="0"/>
        <w:ind w:left="900" w:hanging="900"/>
        <w:rPr>
          <w:rFonts w:ascii="Verdana" w:hAnsi="Verdana"/>
          <w:sz w:val="20"/>
        </w:rPr>
      </w:pPr>
      <w:r w:rsidRPr="0045516E">
        <w:rPr>
          <w:rFonts w:ascii="Verdana" w:hAnsi="Verdana"/>
          <w:sz w:val="20"/>
        </w:rPr>
        <w:t xml:space="preserve">     (6) Application of any State approved locally determined measures of student                   achievement</w:t>
      </w:r>
    </w:p>
    <w:p w:rsidR="0092312C" w:rsidRPr="0092312C" w:rsidRDefault="0092312C" w:rsidP="0092312C">
      <w:pPr>
        <w:tabs>
          <w:tab w:val="left" w:pos="2625"/>
        </w:tabs>
        <w:spacing w:after="0"/>
        <w:ind w:left="900" w:hanging="900"/>
        <w:rPr>
          <w:rFonts w:ascii="Verdana" w:hAnsi="Verdana"/>
          <w:b/>
          <w:sz w:val="24"/>
        </w:rPr>
      </w:pPr>
    </w:p>
    <w:p w:rsidR="004F1653" w:rsidRDefault="004F1653" w:rsidP="002F2886">
      <w:pPr>
        <w:tabs>
          <w:tab w:val="left" w:pos="2625"/>
        </w:tabs>
        <w:rPr>
          <w:rFonts w:ascii="Verdana" w:hAnsi="Verdana"/>
          <w:b/>
          <w:sz w:val="24"/>
        </w:rPr>
      </w:pPr>
      <w:r w:rsidRPr="0092312C">
        <w:rPr>
          <w:rFonts w:ascii="Verdana" w:hAnsi="Verdana"/>
          <w:b/>
          <w:sz w:val="24"/>
        </w:rPr>
        <w:t xml:space="preserve">August </w:t>
      </w:r>
      <w:r w:rsidR="0092312C" w:rsidRPr="0092312C">
        <w:rPr>
          <w:rFonts w:ascii="Verdana" w:hAnsi="Verdana"/>
          <w:b/>
          <w:sz w:val="24"/>
        </w:rPr>
        <w:t>21-23: Curriculum, Standards and Instruction</w:t>
      </w:r>
    </w:p>
    <w:p w:rsidR="0092312C" w:rsidRPr="0092312C" w:rsidRDefault="0092312C" w:rsidP="002F2886">
      <w:pPr>
        <w:tabs>
          <w:tab w:val="left" w:pos="2625"/>
        </w:tabs>
        <w:rPr>
          <w:rFonts w:ascii="Verdana" w:hAnsi="Verdana"/>
          <w:sz w:val="24"/>
        </w:rPr>
      </w:pPr>
      <w:r>
        <w:rPr>
          <w:rFonts w:ascii="Verdana" w:hAnsi="Verdana"/>
          <w:sz w:val="24"/>
        </w:rPr>
        <w:t>Administrators will engage in activities designed to deepen their understanding of the Common Core Learning Standards, including connections to the district selected teacher evaluation rubric.</w:t>
      </w:r>
      <w:r w:rsidR="0045516E">
        <w:rPr>
          <w:rFonts w:ascii="Verdana" w:hAnsi="Verdana"/>
          <w:sz w:val="24"/>
        </w:rPr>
        <w:t xml:space="preserve">  Review and guidance related to use of the NYSED Curriculum Modules will also be covered.</w:t>
      </w:r>
    </w:p>
    <w:p w:rsidR="0045516E" w:rsidRPr="0045516E" w:rsidRDefault="0045516E" w:rsidP="0045516E">
      <w:pPr>
        <w:tabs>
          <w:tab w:val="left" w:pos="2625"/>
        </w:tabs>
        <w:spacing w:after="0"/>
        <w:rPr>
          <w:rFonts w:ascii="Verdana" w:hAnsi="Verdana"/>
          <w:sz w:val="20"/>
        </w:rPr>
      </w:pPr>
      <w:r>
        <w:rPr>
          <w:rFonts w:ascii="Verdana" w:hAnsi="Verdana"/>
          <w:sz w:val="20"/>
        </w:rPr>
        <w:t xml:space="preserve">     (4)</w:t>
      </w:r>
      <w:r w:rsidRPr="0045516E">
        <w:rPr>
          <w:rFonts w:ascii="Verdana" w:hAnsi="Verdana"/>
          <w:sz w:val="20"/>
        </w:rPr>
        <w:t xml:space="preserve">   </w:t>
      </w:r>
      <w:r>
        <w:rPr>
          <w:rFonts w:ascii="Verdana" w:hAnsi="Verdana"/>
          <w:sz w:val="20"/>
        </w:rPr>
        <w:t xml:space="preserve">  </w:t>
      </w:r>
      <w:r w:rsidRPr="0045516E">
        <w:rPr>
          <w:rFonts w:ascii="Verdana" w:hAnsi="Verdana"/>
          <w:sz w:val="20"/>
        </w:rPr>
        <w:t xml:space="preserve"> </w:t>
      </w:r>
      <w:r w:rsidRPr="0045516E">
        <w:rPr>
          <w:rFonts w:ascii="Verdana" w:hAnsi="Verdana"/>
          <w:sz w:val="20"/>
        </w:rPr>
        <w:t>Application and use of state approved teacher rubrics</w:t>
      </w:r>
    </w:p>
    <w:p w:rsidR="0045516E" w:rsidRPr="0092312C" w:rsidRDefault="0045516E" w:rsidP="0045516E">
      <w:pPr>
        <w:tabs>
          <w:tab w:val="left" w:pos="2625"/>
        </w:tabs>
        <w:spacing w:after="0"/>
        <w:ind w:left="360"/>
        <w:rPr>
          <w:rFonts w:ascii="Verdana" w:hAnsi="Verdana"/>
          <w:sz w:val="24"/>
        </w:rPr>
      </w:pPr>
      <w:r w:rsidRPr="0045516E">
        <w:rPr>
          <w:rFonts w:ascii="Verdana" w:hAnsi="Verdana"/>
          <w:sz w:val="20"/>
        </w:rPr>
        <w:t xml:space="preserve">(9)    </w:t>
      </w:r>
      <w:r>
        <w:rPr>
          <w:rFonts w:ascii="Verdana" w:hAnsi="Verdana"/>
          <w:sz w:val="20"/>
        </w:rPr>
        <w:t xml:space="preserve">  </w:t>
      </w:r>
      <w:r w:rsidRPr="0045516E">
        <w:rPr>
          <w:rFonts w:ascii="Verdana" w:hAnsi="Verdana"/>
          <w:sz w:val="20"/>
        </w:rPr>
        <w:t>Specific considerations in evaluating teachers of ELL/Special Education students</w:t>
      </w:r>
    </w:p>
    <w:p w:rsidR="00FF0EB1" w:rsidRDefault="00FF0EB1" w:rsidP="004F1653">
      <w:pPr>
        <w:tabs>
          <w:tab w:val="left" w:pos="2625"/>
        </w:tabs>
        <w:rPr>
          <w:rFonts w:ascii="Verdana" w:hAnsi="Verdana"/>
        </w:rPr>
      </w:pPr>
    </w:p>
    <w:p w:rsidR="004F1653" w:rsidRPr="0045516E" w:rsidRDefault="0045516E" w:rsidP="0045516E">
      <w:pPr>
        <w:tabs>
          <w:tab w:val="left" w:pos="2625"/>
        </w:tabs>
        <w:spacing w:after="0"/>
        <w:jc w:val="center"/>
        <w:rPr>
          <w:rFonts w:ascii="Verdana" w:hAnsi="Verdana"/>
          <w:b/>
          <w:sz w:val="24"/>
        </w:rPr>
      </w:pPr>
      <w:r w:rsidRPr="0045516E">
        <w:rPr>
          <w:rFonts w:ascii="Verdana" w:hAnsi="Verdana"/>
          <w:b/>
          <w:sz w:val="24"/>
        </w:rPr>
        <w:t>Cost for Leadership Boot Camps will be $250 per participant/Boot Camp</w:t>
      </w:r>
    </w:p>
    <w:p w:rsidR="000B0CCD" w:rsidRPr="0045516E" w:rsidRDefault="0045516E" w:rsidP="0045516E">
      <w:pPr>
        <w:tabs>
          <w:tab w:val="left" w:pos="2625"/>
        </w:tabs>
        <w:spacing w:after="0"/>
        <w:jc w:val="center"/>
        <w:rPr>
          <w:rFonts w:ascii="Verdana" w:hAnsi="Verdana"/>
          <w:b/>
          <w:sz w:val="24"/>
        </w:rPr>
      </w:pPr>
      <w:r w:rsidRPr="0045516E">
        <w:rPr>
          <w:rFonts w:ascii="Verdana" w:hAnsi="Verdana"/>
          <w:b/>
          <w:sz w:val="24"/>
        </w:rPr>
        <w:t xml:space="preserve">Registration will be open to participants in </w:t>
      </w:r>
      <w:proofErr w:type="spellStart"/>
      <w:r w:rsidRPr="0045516E">
        <w:rPr>
          <w:rFonts w:ascii="Verdana" w:hAnsi="Verdana"/>
          <w:b/>
          <w:sz w:val="24"/>
        </w:rPr>
        <w:t>Coser</w:t>
      </w:r>
      <w:proofErr w:type="spellEnd"/>
      <w:r w:rsidRPr="0045516E">
        <w:rPr>
          <w:rFonts w:ascii="Verdana" w:hAnsi="Verdana"/>
          <w:b/>
          <w:sz w:val="24"/>
        </w:rPr>
        <w:t xml:space="preserve"> 565</w:t>
      </w:r>
    </w:p>
    <w:p w:rsidR="006B5AC7" w:rsidRPr="000B0CCD" w:rsidRDefault="006B5AC7" w:rsidP="000B0CCD">
      <w:pPr>
        <w:tabs>
          <w:tab w:val="left" w:pos="9045"/>
        </w:tabs>
        <w:rPr>
          <w:rFonts w:ascii="Verdana" w:hAnsi="Verdana"/>
          <w:sz w:val="24"/>
        </w:rPr>
      </w:pPr>
      <w:bookmarkStart w:id="0" w:name="_GoBack"/>
      <w:bookmarkEnd w:id="0"/>
    </w:p>
    <w:sectPr w:rsidR="006B5AC7" w:rsidRPr="000B0CCD" w:rsidSect="002F2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D1F"/>
    <w:multiLevelType w:val="hybridMultilevel"/>
    <w:tmpl w:val="E65E24A8"/>
    <w:lvl w:ilvl="0" w:tplc="08027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134FB"/>
    <w:multiLevelType w:val="hybridMultilevel"/>
    <w:tmpl w:val="E4F058FE"/>
    <w:lvl w:ilvl="0" w:tplc="60389CC0">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B567F29"/>
    <w:multiLevelType w:val="hybridMultilevel"/>
    <w:tmpl w:val="E65E24A8"/>
    <w:lvl w:ilvl="0" w:tplc="08027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13B96"/>
    <w:multiLevelType w:val="hybridMultilevel"/>
    <w:tmpl w:val="396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C794A"/>
    <w:multiLevelType w:val="hybridMultilevel"/>
    <w:tmpl w:val="DCA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1300E"/>
    <w:multiLevelType w:val="hybridMultilevel"/>
    <w:tmpl w:val="E65E24A8"/>
    <w:lvl w:ilvl="0" w:tplc="08027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86"/>
    <w:rsid w:val="000B0CCD"/>
    <w:rsid w:val="0026005F"/>
    <w:rsid w:val="002F2886"/>
    <w:rsid w:val="0045516E"/>
    <w:rsid w:val="004F1653"/>
    <w:rsid w:val="006B5AC7"/>
    <w:rsid w:val="0092312C"/>
    <w:rsid w:val="00E322A7"/>
    <w:rsid w:val="00FD07A0"/>
    <w:rsid w:val="00FF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86"/>
    <w:rPr>
      <w:rFonts w:ascii="Tahoma" w:hAnsi="Tahoma" w:cs="Tahoma"/>
      <w:sz w:val="16"/>
      <w:szCs w:val="16"/>
    </w:rPr>
  </w:style>
  <w:style w:type="paragraph" w:styleId="NoSpacing">
    <w:name w:val="No Spacing"/>
    <w:uiPriority w:val="1"/>
    <w:qFormat/>
    <w:rsid w:val="00FF0EB1"/>
    <w:pPr>
      <w:spacing w:after="0" w:line="240" w:lineRule="auto"/>
    </w:pPr>
  </w:style>
  <w:style w:type="table" w:styleId="TableGrid">
    <w:name w:val="Table Grid"/>
    <w:basedOn w:val="TableNormal"/>
    <w:uiPriority w:val="59"/>
    <w:rsid w:val="000B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886"/>
    <w:rPr>
      <w:rFonts w:ascii="Tahoma" w:hAnsi="Tahoma" w:cs="Tahoma"/>
      <w:sz w:val="16"/>
      <w:szCs w:val="16"/>
    </w:rPr>
  </w:style>
  <w:style w:type="paragraph" w:styleId="NoSpacing">
    <w:name w:val="No Spacing"/>
    <w:uiPriority w:val="1"/>
    <w:qFormat/>
    <w:rsid w:val="00FF0EB1"/>
    <w:pPr>
      <w:spacing w:after="0" w:line="240" w:lineRule="auto"/>
    </w:pPr>
  </w:style>
  <w:style w:type="table" w:styleId="TableGrid">
    <w:name w:val="Table Grid"/>
    <w:basedOn w:val="TableNormal"/>
    <w:uiPriority w:val="59"/>
    <w:rsid w:val="000B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3</cp:revision>
  <dcterms:created xsi:type="dcterms:W3CDTF">2012-05-16T00:17:00Z</dcterms:created>
  <dcterms:modified xsi:type="dcterms:W3CDTF">2012-05-16T00:42:00Z</dcterms:modified>
</cp:coreProperties>
</file>