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C" w:rsidRDefault="00F72B2C" w:rsidP="00F72B2C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</w:t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CDN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May 31, 2012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Ken </w:t>
      </w:r>
      <w:proofErr w:type="spellStart"/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Slentz</w:t>
      </w:r>
      <w:proofErr w:type="spellEnd"/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, Deputy Commissioner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P-12 Updates and Initiatives Agenda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color w:val="000000"/>
          <w:sz w:val="23"/>
          <w:szCs w:val="23"/>
        </w:rPr>
        <w:t>NCLB Waiver News</w:t>
      </w:r>
    </w:p>
    <w:p w:rsidR="00F72B2C" w:rsidRDefault="00F72B2C" w:rsidP="00F72B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Aligned to the work of the reform agenda:</w:t>
      </w:r>
    </w:p>
    <w:p w:rsidR="00F72B2C" w:rsidRDefault="00F72B2C" w:rsidP="00F72B2C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Adoption of CCLS</w:t>
      </w:r>
    </w:p>
    <w:p w:rsidR="00F72B2C" w:rsidRDefault="00F72B2C" w:rsidP="00F72B2C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use of CCR standards</w:t>
      </w:r>
    </w:p>
    <w:p w:rsidR="00F72B2C" w:rsidRDefault="00F72B2C" w:rsidP="00F72B2C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Change in use of AYP</w:t>
      </w:r>
    </w:p>
    <w:p w:rsidR="00F72B2C" w:rsidRDefault="00F72B2C" w:rsidP="00F72B2C">
      <w:pPr>
        <w:pStyle w:val="ListParagraph"/>
        <w:numPr>
          <w:ilvl w:val="1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growth towards proficiency</w:t>
      </w:r>
    </w:p>
    <w:p w:rsidR="00F72B2C" w:rsidRDefault="00F72B2C" w:rsidP="00F72B2C">
      <w:pPr>
        <w:pStyle w:val="ListParagraph"/>
        <w:numPr>
          <w:ilvl w:val="2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by 2016 will cut in half the distance that the subgroups have in meeting proficiency (promise to Feds)</w:t>
      </w:r>
    </w:p>
    <w:p w:rsidR="00F72B2C" w:rsidRPr="00F72B2C" w:rsidRDefault="00F72B2C" w:rsidP="00F72B2C">
      <w:pPr>
        <w:pStyle w:val="ListParagraph"/>
        <w:numPr>
          <w:ilvl w:val="2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money will follow - how to best and better get subgroups on the path to college and career readiness</w:t>
      </w:r>
    </w:p>
    <w:p w:rsidR="00F72B2C" w:rsidRPr="00F72B2C" w:rsidRDefault="00F72B2C" w:rsidP="00F72B2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college and career readiness scores</w:t>
      </w:r>
    </w:p>
    <w:p w:rsidR="00F72B2C" w:rsidRPr="00F72B2C" w:rsidRDefault="00F72B2C" w:rsidP="00F72B2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Move from Qualified to Effective for teachers and principals and include student growth</w:t>
      </w:r>
    </w:p>
    <w:p w:rsidR="00F72B2C" w:rsidRPr="00F72B2C" w:rsidRDefault="00F72B2C" w:rsidP="00F72B2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requirement that we are well on our way to implement</w:t>
      </w:r>
    </w:p>
    <w:p w:rsidR="00F72B2C" w:rsidRPr="00F72B2C" w:rsidRDefault="00F72B2C" w:rsidP="00F72B2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any grant you see coming will have 3012-c attached to it</w:t>
      </w:r>
    </w:p>
    <w:p w:rsidR="00F72B2C" w:rsidRPr="00F72B2C" w:rsidRDefault="00F72B2C" w:rsidP="00F72B2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Use of single diagnostic tool to determine district improvement</w:t>
      </w:r>
    </w:p>
    <w:p w:rsidR="00F72B2C" w:rsidRPr="00F72B2C" w:rsidRDefault="00F72B2C" w:rsidP="00F72B2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will provide training this summer - designed to bring focus to the areas of improvement and what is needed to bring access to the students</w:t>
      </w:r>
    </w:p>
    <w:p w:rsidR="00F72B2C" w:rsidRDefault="00F72B2C" w:rsidP="00F72B2C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trying to mesh the various review protocols that are done and reduce the number of reports needed to be done by districts - integration is the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goal</w:t>
      </w:r>
    </w:p>
    <w:p w:rsidR="00F72B2C" w:rsidRPr="00F72B2C" w:rsidRDefault="00F72B2C" w:rsidP="00F72B2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b/>
          <w:color w:val="000000"/>
          <w:sz w:val="23"/>
          <w:szCs w:val="23"/>
        </w:rPr>
        <w:t>Changes to AYP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Move away from direct measurement of proficiency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Use School and District Accountability Standards that are better aligned to college-and-career readiness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replace identification of Schools for Improvement, Corrective Action and Restructuring with identification of Priority and Focus Schools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replace identification of Districts for Improvement and Corrective Action with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Identification of </w:t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Focus Districts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Replace identification of Schools as High Performing/Rapidly Improving with identification of Reward Schools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Use proficiency and growth measures to make accountability determinations for elementary and middle schools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at HS - districts will get full accountability credit for meeting aspirational measures of 75 on ELA/80 on math; partial credit for other scores</w:t>
      </w:r>
    </w:p>
    <w:p w:rsidR="00F72B2C" w:rsidRPr="00F72B2C" w:rsidRDefault="00F72B2C" w:rsidP="00F72B2C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teacher/student data linkage is key to having the data come alive - tomorrow is the deadline</w:t>
      </w:r>
    </w:p>
    <w:p w:rsidR="00F72B2C" w:rsidRPr="00F72B2C" w:rsidRDefault="00F72B2C" w:rsidP="00F72B2C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growth model gets better with larger n size</w:t>
      </w:r>
    </w:p>
    <w:p w:rsidR="00F72B2C" w:rsidRPr="00F72B2C" w:rsidRDefault="00F72B2C" w:rsidP="00F72B2C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proofErr w:type="gram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need</w:t>
      </w:r>
      <w:proofErr w:type="gram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to encourage districts to complete this by tomorrow!!! </w:t>
      </w:r>
      <w:r w:rsidRPr="00F72B2C">
        <w:rPr>
          <w:rFonts w:ascii="Arial" w:eastAsia="Times New Roman" w:hAnsi="Arial" w:cs="Arial"/>
          <w:i/>
          <w:color w:val="000000"/>
          <w:sz w:val="23"/>
          <w:szCs w:val="23"/>
        </w:rPr>
        <w:t>(deadline was subsequently changed)</w:t>
      </w:r>
    </w:p>
    <w:p w:rsid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72B2C">
        <w:rPr>
          <w:rFonts w:ascii="Arial" w:eastAsia="Times New Roman" w:hAnsi="Arial" w:cs="Arial"/>
          <w:b/>
          <w:color w:val="000000"/>
          <w:sz w:val="23"/>
          <w:szCs w:val="23"/>
        </w:rPr>
        <w:t>Assessment Update</w:t>
      </w:r>
    </w:p>
    <w:p w:rsidR="00F72B2C" w:rsidRPr="00F72B2C" w:rsidRDefault="00F72B2C" w:rsidP="00F72B2C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Math pre/post</w:t>
      </w:r>
    </w:p>
    <w:p w:rsidR="00F72B2C" w:rsidRPr="00F72B2C" w:rsidRDefault="00F72B2C" w:rsidP="00F72B2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important to notice that there is a shift in what is covered - priority concepts by grade</w:t>
      </w:r>
    </w:p>
    <w:p w:rsidR="00F72B2C" w:rsidRPr="00F72B2C" w:rsidRDefault="00F72B2C" w:rsidP="00F72B2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while</w:t>
      </w:r>
      <w:proofErr w:type="gram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preparing for assessment this year - needed to ignore that.  Now officially in common core land and need to be spending these last few weeks of school preparing students for the “new” grade level</w:t>
      </w:r>
    </w:p>
    <w:p w:rsidR="00F72B2C" w:rsidRPr="00F72B2C" w:rsidRDefault="00F72B2C" w:rsidP="00F72B2C">
      <w:pPr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be sure teachers are noticing about what is in next year’s grade that students will need pre-requisite knowledge/skills (principal’s task)</w:t>
      </w:r>
    </w:p>
    <w:p w:rsidR="00F72B2C" w:rsidRPr="00F72B2C" w:rsidRDefault="00F72B2C" w:rsidP="00F72B2C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Sample items will be released in the next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two </w:t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week</w:t>
      </w:r>
      <w:r>
        <w:rPr>
          <w:rFonts w:ascii="Arial" w:eastAsia="Times New Roman" w:hAnsi="Arial" w:cs="Arial"/>
          <w:color w:val="000000"/>
          <w:sz w:val="23"/>
          <w:szCs w:val="23"/>
        </w:rPr>
        <w:t>s</w:t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- at least 10 items per grade level in ELA/Math</w:t>
      </w:r>
    </w:p>
    <w:p w:rsidR="00F72B2C" w:rsidRPr="00F72B2C" w:rsidRDefault="00F72B2C" w:rsidP="00F72B2C">
      <w:pPr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what they are</w:t>
      </w:r>
    </w:p>
    <w:p w:rsidR="00F72B2C" w:rsidRPr="00F72B2C" w:rsidRDefault="00F72B2C" w:rsidP="00F72B2C">
      <w:pPr>
        <w:numPr>
          <w:ilvl w:val="2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what they will/can look like</w:t>
      </w:r>
    </w:p>
    <w:p w:rsidR="00F72B2C" w:rsidRPr="00F72B2C" w:rsidRDefault="00F72B2C" w:rsidP="00F72B2C">
      <w:pPr>
        <w:numPr>
          <w:ilvl w:val="2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have been constraints b/c needed to use materials in the public domain</w:t>
      </w:r>
    </w:p>
    <w:p w:rsidR="00F72B2C" w:rsidRPr="00F72B2C" w:rsidRDefault="00F72B2C" w:rsidP="00F72B2C">
      <w:pPr>
        <w:numPr>
          <w:ilvl w:val="2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greater understanding around unpacking the standards and then writing items once understand with greater depth the standard</w:t>
      </w:r>
    </w:p>
    <w:p w:rsidR="00F72B2C" w:rsidRPr="00F72B2C" w:rsidRDefault="00F72B2C" w:rsidP="00F72B2C">
      <w:pPr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purpose</w:t>
      </w:r>
    </w:p>
    <w:p w:rsidR="00F72B2C" w:rsidRPr="00F72B2C" w:rsidRDefault="00F72B2C" w:rsidP="00F72B2C">
      <w:pPr>
        <w:numPr>
          <w:ilvl w:val="2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think about how you want to use them</w:t>
      </w:r>
    </w:p>
    <w:p w:rsidR="00F72B2C" w:rsidRPr="00F72B2C" w:rsidRDefault="00F72B2C" w:rsidP="00F72B2C">
      <w:pPr>
        <w:numPr>
          <w:ilvl w:val="2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can be real facilitated conversation around them and how people can use them</w:t>
      </w:r>
    </w:p>
    <w:p w:rsidR="00F72B2C" w:rsidRPr="00F72B2C" w:rsidRDefault="00F72B2C" w:rsidP="00F72B2C">
      <w:pPr>
        <w:numPr>
          <w:ilvl w:val="2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how</w:t>
      </w:r>
      <w:proofErr w:type="gram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can we use them to drive the change we know we need?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2B2C" w:rsidRPr="00F72B2C" w:rsidRDefault="00F72B2C" w:rsidP="00F72B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Ken Wagner, Associate Commissioner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Office of Information, Reporting and Data Systems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“the data systems mean nothing if they don’t help teachers drive instruction”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- this is a highly fraught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difficult and complicated policy arena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- trying to approach the field with entirely new set of vocab and procedures -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know that all</w:t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this takes years to set in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All of data starts at school level with electronic student management systems - problem for those who do not yet have them, including BOCES who may have them but not use them in the same manner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Linkage Data Elements</w:t>
      </w:r>
    </w:p>
    <w:p w:rsidR="00F72B2C" w:rsidRPr="00F72B2C" w:rsidRDefault="00F72B2C" w:rsidP="00F72B2C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Multiple teachers assigned to a course section</w:t>
      </w:r>
    </w:p>
    <w:p w:rsidR="00F72B2C" w:rsidRPr="00F72B2C" w:rsidRDefault="00F72B2C" w:rsidP="00F72B2C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Teacher-student linkage to be expressed as a proportion to reflect changes over time:</w:t>
      </w:r>
    </w:p>
    <w:p w:rsidR="00F72B2C" w:rsidRPr="00F72B2C" w:rsidRDefault="00F72B2C" w:rsidP="00F72B2C">
      <w:pPr>
        <w:numPr>
          <w:ilvl w:val="1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Duration of student enrollment-teacher assignment linkage for course (minutes) - Field 14</w:t>
      </w:r>
    </w:p>
    <w:p w:rsidR="00F72B2C" w:rsidRPr="00F72B2C" w:rsidRDefault="00F72B2C" w:rsidP="00F72B2C">
      <w:pPr>
        <w:numPr>
          <w:ilvl w:val="1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Duration of student attendance - teacher assignment linkage for course (minutes) - Field 15</w:t>
      </w:r>
    </w:p>
    <w:p w:rsidR="00F72B2C" w:rsidRPr="00F72B2C" w:rsidRDefault="00F72B2C" w:rsidP="00F72B2C">
      <w:pPr>
        <w:numPr>
          <w:ilvl w:val="1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Duration of course (minutes) - Field 18</w:t>
      </w:r>
    </w:p>
    <w:p w:rsidR="00F72B2C" w:rsidRPr="00F72B2C" w:rsidRDefault="00F72B2C" w:rsidP="00F72B2C">
      <w:pPr>
        <w:numPr>
          <w:ilvl w:val="1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Teacher-student linkage start/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edn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dates</w:t>
      </w:r>
    </w:p>
    <w:p w:rsidR="00F72B2C" w:rsidRPr="00F72B2C" w:rsidRDefault="00F72B2C" w:rsidP="00F72B2C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Teacher-student linkage duration adjustments (correction for hard-to-schedule situations)</w:t>
      </w:r>
    </w:p>
    <w:p w:rsidR="00F72B2C" w:rsidRPr="00F72B2C" w:rsidRDefault="00F72B2C" w:rsidP="00F72B2C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Guidance on how to deal with elementary school schedules issued on January 27th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have come up around “leakage” in a student day</w:t>
      </w:r>
    </w:p>
    <w:p w:rsidR="00F72B2C" w:rsidRPr="00F72B2C" w:rsidRDefault="00F72B2C" w:rsidP="00F72B2C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If field trips and assemblies are viewed as leakage - should question why you have them!</w:t>
      </w:r>
    </w:p>
    <w:p w:rsidR="00F72B2C" w:rsidRPr="00F72B2C" w:rsidRDefault="00F72B2C" w:rsidP="00F72B2C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have also come up around music lessons, etc.  That is a local call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Conceptual idea re: attendance and growth model (caution - has not been reviewed by the vendor):</w:t>
      </w:r>
    </w:p>
    <w:p w:rsidR="00F72B2C" w:rsidRPr="00F72B2C" w:rsidRDefault="00F72B2C" w:rsidP="00F72B2C">
      <w:pPr>
        <w:numPr>
          <w:ilvl w:val="0"/>
          <w:numId w:val="2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If student is present for 97% of the course, that score should count as 97% of the calculation</w:t>
      </w:r>
    </w:p>
    <w:p w:rsidR="00F72B2C" w:rsidRDefault="00F72B2C" w:rsidP="00F72B2C">
      <w:pPr>
        <w:numPr>
          <w:ilvl w:val="0"/>
          <w:numId w:val="2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NOT necessarily the same analogy to apply to SLO</w:t>
      </w:r>
    </w:p>
    <w:p w:rsidR="00F72B2C" w:rsidRPr="00F72B2C" w:rsidRDefault="00F72B2C" w:rsidP="00F72B2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Nothing gets verification of data faster than transparency</w:t>
      </w:r>
    </w:p>
    <w:p w:rsidR="00F72B2C" w:rsidRPr="00F72B2C" w:rsidRDefault="00F72B2C" w:rsidP="00F72B2C">
      <w:pPr>
        <w:numPr>
          <w:ilvl w:val="0"/>
          <w:numId w:val="2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Rolled out directly to teachers in March - about 80% of teachers who rec’d the PINS have logged in and created accounts (69000 teachers)</w:t>
      </w:r>
    </w:p>
    <w:p w:rsidR="00F72B2C" w:rsidRDefault="00F72B2C" w:rsidP="00F72B2C">
      <w:pPr>
        <w:numPr>
          <w:ilvl w:val="0"/>
          <w:numId w:val="2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average user clicking on 10 different pages of the system and sticking around for 10.96 minutes (running Google analytics)</w:t>
      </w:r>
    </w:p>
    <w:p w:rsidR="00F72B2C" w:rsidRPr="00F72B2C" w:rsidRDefault="00F72B2C" w:rsidP="00F72B2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How will the system account for teacher absences?</w:t>
      </w:r>
    </w:p>
    <w:p w:rsidR="00F72B2C" w:rsidRDefault="00F72B2C" w:rsidP="00F72B2C">
      <w:pPr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Need to stop and then restart the system when teacher leaves and then returns (example is for extended absence)</w:t>
      </w:r>
    </w:p>
    <w:p w:rsidR="00F72B2C" w:rsidRPr="00F72B2C" w:rsidRDefault="00F72B2C" w:rsidP="00F72B2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Speech teacher vs. pathologist goes to the heart of the classroom teacher definition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Anita Murphy, Associate Commissioner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Office of Curriculum, Instruction and Field Services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Packet of SLO samples provided - not exemplars! From teachers who did the training at NYSED and they are still working on providing feedback to them so they can be posted on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EngageNY</w:t>
      </w:r>
      <w:proofErr w:type="spellEnd"/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Third Party As</w:t>
      </w:r>
      <w:r>
        <w:rPr>
          <w:rFonts w:ascii="Arial" w:eastAsia="Times New Roman" w:hAnsi="Arial" w:cs="Arial"/>
          <w:color w:val="000000"/>
          <w:sz w:val="23"/>
          <w:szCs w:val="23"/>
        </w:rPr>
        <w:t>s</w:t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essments</w:t>
      </w:r>
    </w:p>
    <w:p w:rsidR="00F72B2C" w:rsidRPr="00F72B2C" w:rsidRDefault="00F72B2C" w:rsidP="00F72B2C">
      <w:pPr>
        <w:numPr>
          <w:ilvl w:val="0"/>
          <w:numId w:val="3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One issue: national assessment that vendor will never submit because they are “industry standards” (ex. NACTE or Project Lead the Way).  New RFQ - as long as have vendor permission, a district or BOCES can submit the assessment for approval</w:t>
      </w:r>
    </w:p>
    <w:p w:rsidR="00F72B2C" w:rsidRPr="00F72B2C" w:rsidRDefault="00F72B2C" w:rsidP="00F72B2C">
      <w:pPr>
        <w:numPr>
          <w:ilvl w:val="1"/>
          <w:numId w:val="3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should be strategic in how they are submitted to ensure that an important assessment does not get overlooked</w:t>
      </w:r>
    </w:p>
    <w:p w:rsidR="00F72B2C" w:rsidRPr="00F72B2C" w:rsidRDefault="00F72B2C" w:rsidP="00F72B2C">
      <w:pPr>
        <w:numPr>
          <w:ilvl w:val="0"/>
          <w:numId w:val="3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The testing police don’t exist - well they do but they aren’t policing that.  Be practicable.</w:t>
      </w:r>
    </w:p>
    <w:p w:rsidR="00F72B2C" w:rsidRPr="00F72B2C" w:rsidRDefault="00F72B2C" w:rsidP="00F72B2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June 1, 2012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Allison </w:t>
      </w:r>
      <w:proofErr w:type="spellStart"/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Armour</w:t>
      </w:r>
      <w:proofErr w:type="spellEnd"/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-Garb, Executive Director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Educator Effectiveness, Policy and Programs</w:t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520 districts or more have already logged into Review Room</w:t>
      </w:r>
    </w:p>
    <w:p w:rsidR="00F72B2C" w:rsidRPr="00F72B2C" w:rsidRDefault="00F72B2C" w:rsidP="00F72B2C">
      <w:pPr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Many taking the approach of downloading the Word version and using them as worksheets</w:t>
      </w:r>
    </w:p>
    <w:p w:rsidR="00F72B2C" w:rsidRPr="00F72B2C" w:rsidRDefault="00F72B2C" w:rsidP="00F72B2C">
      <w:pPr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A number of districts are very close to submitting plans but also hearing there may be reluctance to be the ones to go first</w:t>
      </w:r>
    </w:p>
    <w:p w:rsidR="00F72B2C" w:rsidRPr="00F72B2C" w:rsidRDefault="00F72B2C" w:rsidP="00F72B2C">
      <w:pPr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As soon as plans are approved - they will be posted and available for others to look at</w:t>
      </w:r>
    </w:p>
    <w:p w:rsidR="00F72B2C" w:rsidRDefault="00F72B2C" w:rsidP="00F72B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2B2C" w:rsidRDefault="00F72B2C" w:rsidP="00F72B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lastRenderedPageBreak/>
        <w:t>Timelines</w:t>
      </w:r>
    </w:p>
    <w:p w:rsidR="00F72B2C" w:rsidRPr="00F72B2C" w:rsidRDefault="00F72B2C" w:rsidP="00F72B2C">
      <w:pPr>
        <w:numPr>
          <w:ilvl w:val="0"/>
          <w:numId w:val="3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This month, expect to post the list of approved survey tools and the RFQ for the assessments (assessments may be submitted by a district/BOCES that wants to use a particular assessment in APPR as long as there is a sign-off by the provider -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turn around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time on this RFQ will be tight)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Common Questions that have been sent to Educator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Eval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mailbox</w:t>
      </w:r>
    </w:p>
    <w:p w:rsidR="00F72B2C" w:rsidRPr="00F72B2C" w:rsidRDefault="00F72B2C" w:rsidP="00F72B2C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some people who submit questions clearly have not read or understood the Guidance Document - in that case will be pointed to the Guidance Document, some interpretation may be given to clarify; if many are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mis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>-interpreting then they will work on clarification of document</w:t>
      </w:r>
    </w:p>
    <w:p w:rsidR="00F72B2C" w:rsidRPr="00F72B2C" w:rsidRDefault="00F72B2C" w:rsidP="00F72B2C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some have read and understood but have a “tricky” situation and want to know how it applies</w:t>
      </w:r>
    </w:p>
    <w:p w:rsidR="00F72B2C" w:rsidRPr="00F72B2C" w:rsidRDefault="00F72B2C" w:rsidP="00F72B2C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others are items that are meant to be locally negotiated or decided - SED will not be giving “rulings” but tell you that it should be locally decided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plans due and length of review process</w:t>
      </w:r>
    </w:p>
    <w:p w:rsidR="00F72B2C" w:rsidRPr="00F72B2C" w:rsidRDefault="00F72B2C" w:rsidP="00F72B2C">
      <w:pPr>
        <w:numPr>
          <w:ilvl w:val="0"/>
          <w:numId w:val="3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January deadline is NOT the submission deadline - it is an approval deadline</w:t>
      </w:r>
    </w:p>
    <w:p w:rsidR="00F72B2C" w:rsidRPr="00F72B2C" w:rsidRDefault="00F72B2C" w:rsidP="00F72B2C">
      <w:pPr>
        <w:numPr>
          <w:ilvl w:val="0"/>
          <w:numId w:val="3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the approval process will take weeks and the timing will depend on volume and re-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sumissions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>, you are encouraged to submit early and not plan to submit after Thanksgiving</w:t>
      </w:r>
    </w:p>
    <w:p w:rsidR="00F72B2C" w:rsidRPr="00F72B2C" w:rsidRDefault="00F72B2C" w:rsidP="00F72B2C">
      <w:pPr>
        <w:numPr>
          <w:ilvl w:val="0"/>
          <w:numId w:val="3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when a plan is submitted - if it need modification, once resubmitted there will be a 4-6 weeks turnaround time as well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no increase in state aid anyway so do we need to submit by January?</w:t>
      </w:r>
    </w:p>
    <w:p w:rsidR="00F72B2C" w:rsidRPr="00F72B2C" w:rsidRDefault="00F72B2C" w:rsidP="00F72B2C">
      <w:pPr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3012-c is the law and you need an APPR plan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interaction of the collective bargaining agreements and timelines for submission</w:t>
      </w:r>
    </w:p>
    <w:p w:rsidR="00A8496D" w:rsidRDefault="00F72B2C" w:rsidP="00A8496D">
      <w:pPr>
        <w:numPr>
          <w:ilvl w:val="0"/>
          <w:numId w:val="3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b/>
          <w:bCs/>
          <w:color w:val="000000"/>
          <w:sz w:val="23"/>
          <w:szCs w:val="23"/>
        </w:rPr>
        <w:t>Section K1 of Guidance Document</w:t>
      </w:r>
    </w:p>
    <w:p w:rsidR="00F72B2C" w:rsidRPr="00F72B2C" w:rsidRDefault="00F72B2C" w:rsidP="00A8496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rubrics (Section H)</w:t>
      </w:r>
    </w:p>
    <w:p w:rsidR="00F72B2C" w:rsidRPr="00F72B2C" w:rsidRDefault="00F72B2C" w:rsidP="00F72B2C">
      <w:pPr>
        <w:numPr>
          <w:ilvl w:val="0"/>
          <w:numId w:val="3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Have clarified in guidance that if a district has chosen the observation only rubrics they will also need to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chose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a second rubric to enable them to assess and score the other parts of teacher practice that are not observable</w:t>
      </w:r>
    </w:p>
    <w:p w:rsidR="00F72B2C" w:rsidRPr="00F72B2C" w:rsidRDefault="00F72B2C" w:rsidP="00F72B2C">
      <w:pPr>
        <w:numPr>
          <w:ilvl w:val="1"/>
          <w:numId w:val="3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Must use the entire second rubric, not just the parts that don’t lend themselves to education</w:t>
      </w:r>
    </w:p>
    <w:p w:rsidR="00F72B2C" w:rsidRPr="00F72B2C" w:rsidRDefault="00F72B2C" w:rsidP="00F72B2C">
      <w:pPr>
        <w:numPr>
          <w:ilvl w:val="1"/>
          <w:numId w:val="3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Can weight pieces of the rubric differently</w:t>
      </w:r>
    </w:p>
    <w:p w:rsidR="00F72B2C" w:rsidRPr="00F72B2C" w:rsidRDefault="00F72B2C" w:rsidP="00F72B2C">
      <w:pPr>
        <w:numPr>
          <w:ilvl w:val="0"/>
          <w:numId w:val="3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TED materials - do you have to use these if choose NYSUT rubric?</w:t>
      </w:r>
    </w:p>
    <w:p w:rsidR="00F72B2C" w:rsidRPr="00F72B2C" w:rsidRDefault="00F72B2C" w:rsidP="00F72B2C">
      <w:pPr>
        <w:numPr>
          <w:ilvl w:val="1"/>
          <w:numId w:val="3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How you use a particular rubric and the materials/supports you choose to take advantage of are local decisions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teachers that are covered</w:t>
      </w:r>
    </w:p>
    <w:p w:rsidR="00F72B2C" w:rsidRPr="00F72B2C" w:rsidRDefault="00F72B2C" w:rsidP="00F72B2C">
      <w:pPr>
        <w:numPr>
          <w:ilvl w:val="0"/>
          <w:numId w:val="3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Co-teaching and push-in/pull-out and instructional support services: need to really provide clarification on what these are</w:t>
      </w:r>
    </w:p>
    <w:p w:rsidR="00F72B2C" w:rsidRDefault="00F72B2C" w:rsidP="00F72B2C">
      <w:pPr>
        <w:numPr>
          <w:ilvl w:val="0"/>
          <w:numId w:val="3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Speech teachers/pathologist and librarians discussion - what is the role? What is the certification?</w:t>
      </w:r>
    </w:p>
    <w:p w:rsidR="00A8496D" w:rsidRPr="00F72B2C" w:rsidRDefault="00A8496D" w:rsidP="00A8496D">
      <w:pPr>
        <w:numPr>
          <w:ilvl w:val="1"/>
          <w:numId w:val="3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Significant discussion on this topic – AAG will be looking into this and there may be additional clarification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72B2C">
        <w:rPr>
          <w:rFonts w:ascii="Arial" w:eastAsia="Times New Roman" w:hAnsi="Arial" w:cs="Arial"/>
          <w:color w:val="000000"/>
          <w:sz w:val="23"/>
          <w:szCs w:val="23"/>
        </w:rPr>
        <w:t>UPDATED GUIDANCE DOCUMENT:</w:t>
      </w:r>
    </w:p>
    <w:p w:rsidR="00F72B2C" w:rsidRDefault="00F72B2C" w:rsidP="00F72B2C">
      <w:pPr>
        <w:numPr>
          <w:ilvl w:val="0"/>
          <w:numId w:val="3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Four new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guidance questions in Section C</w:t>
      </w:r>
    </w:p>
    <w:p w:rsidR="00F72B2C" w:rsidRPr="00F72B2C" w:rsidRDefault="00F72B2C" w:rsidP="00F72B2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APPR plans being posted on the web</w:t>
      </w:r>
    </w:p>
    <w:p w:rsidR="00F72B2C" w:rsidRPr="00F72B2C" w:rsidRDefault="00F72B2C" w:rsidP="00F72B2C">
      <w:pPr>
        <w:numPr>
          <w:ilvl w:val="0"/>
          <w:numId w:val="4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State will post approved plans</w:t>
      </w:r>
    </w:p>
    <w:p w:rsidR="00F72B2C" w:rsidRPr="00F72B2C" w:rsidRDefault="00F72B2C" w:rsidP="00F72B2C">
      <w:pPr>
        <w:numPr>
          <w:ilvl w:val="0"/>
          <w:numId w:val="4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Forms that are required to be uploaded will be tables/TIP/PIP forms so may not have the issue with posing electronically and the copyright licenses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use of the form</w:t>
      </w:r>
    </w:p>
    <w:p w:rsidR="00F72B2C" w:rsidRPr="00F72B2C" w:rsidRDefault="00F72B2C" w:rsidP="00F72B2C">
      <w:pPr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Important change made in drop down menus re: growth/local measure - added N/A because there may be situations where a district/BOCES does not offer a particular course or may offer the course but not offer the assessment (i.e. Physics)  Guidance is given on the site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2B2C">
        <w:rPr>
          <w:rFonts w:ascii="Arial" w:eastAsia="Times New Roman" w:hAnsi="Arial" w:cs="Arial"/>
          <w:color w:val="000000"/>
          <w:sz w:val="23"/>
          <w:szCs w:val="23"/>
        </w:rPr>
        <w:t>Other questions:</w:t>
      </w:r>
    </w:p>
    <w:p w:rsidR="00F72B2C" w:rsidRPr="00F72B2C" w:rsidRDefault="00F72B2C" w:rsidP="00F72B2C">
      <w:pPr>
        <w:numPr>
          <w:ilvl w:val="0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Long-term substitutes will not need to be evaluated under 3012-c</w:t>
      </w:r>
    </w:p>
    <w:p w:rsidR="00F72B2C" w:rsidRPr="00F72B2C" w:rsidRDefault="00F72B2C" w:rsidP="00F72B2C">
      <w:pPr>
        <w:numPr>
          <w:ilvl w:val="0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If at any time you make a material change to your plan, even if submitted and approved - you must resubmit</w:t>
      </w:r>
    </w:p>
    <w:p w:rsidR="00F72B2C" w:rsidRPr="00F72B2C" w:rsidRDefault="00F72B2C" w:rsidP="00F72B2C">
      <w:pPr>
        <w:numPr>
          <w:ilvl w:val="0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Questions re: K-12 principals who are also Superintendents had been raised - no solutions yet</w:t>
      </w:r>
    </w:p>
    <w:p w:rsidR="00F72B2C" w:rsidRPr="00F72B2C" w:rsidRDefault="00F72B2C" w:rsidP="00F72B2C">
      <w:pPr>
        <w:numPr>
          <w:ilvl w:val="1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Superintendent is appointed by BOE and it needs to be dealt with by the BOE; role of the principal is subordinate to the role of the Superintendent - does that mean that no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eval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for principal?</w:t>
      </w:r>
    </w:p>
    <w:p w:rsidR="00F72B2C" w:rsidRPr="00F72B2C" w:rsidRDefault="00F72B2C" w:rsidP="00F72B2C">
      <w:pPr>
        <w:numPr>
          <w:ilvl w:val="0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Language re: HEDI levels in Review </w:t>
      </w:r>
      <w:proofErr w:type="spellStart"/>
      <w:r w:rsidRPr="00F72B2C">
        <w:rPr>
          <w:rFonts w:ascii="Arial" w:eastAsia="Times New Roman" w:hAnsi="Arial" w:cs="Arial"/>
          <w:color w:val="000000"/>
          <w:sz w:val="23"/>
          <w:szCs w:val="23"/>
        </w:rPr>
        <w:t>Room:Jeff</w:t>
      </w:r>
      <w:proofErr w:type="spellEnd"/>
      <w:r w:rsidRPr="00F72B2C">
        <w:rPr>
          <w:rFonts w:ascii="Arial" w:eastAsia="Times New Roman" w:hAnsi="Arial" w:cs="Arial"/>
          <w:color w:val="000000"/>
          <w:sz w:val="23"/>
          <w:szCs w:val="23"/>
        </w:rPr>
        <w:t xml:space="preserve"> Craig did put out a sample</w:t>
      </w:r>
    </w:p>
    <w:p w:rsidR="00F72B2C" w:rsidRPr="00F72B2C" w:rsidRDefault="00F72B2C" w:rsidP="00F72B2C">
      <w:pPr>
        <w:numPr>
          <w:ilvl w:val="1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System rejects you if you don’t complete</w:t>
      </w:r>
    </w:p>
    <w:p w:rsidR="00F72B2C" w:rsidRPr="00F72B2C" w:rsidRDefault="00F72B2C" w:rsidP="00F72B2C">
      <w:pPr>
        <w:numPr>
          <w:ilvl w:val="1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What to put in?</w:t>
      </w:r>
    </w:p>
    <w:p w:rsidR="00F72B2C" w:rsidRPr="00F72B2C" w:rsidRDefault="00F72B2C" w:rsidP="00F72B2C">
      <w:pPr>
        <w:numPr>
          <w:ilvl w:val="1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AAG - if it says “if needed” should be required to enter - will look into it</w:t>
      </w:r>
    </w:p>
    <w:p w:rsidR="00F72B2C" w:rsidRPr="00F72B2C" w:rsidRDefault="00F72B2C" w:rsidP="00F72B2C">
      <w:pPr>
        <w:numPr>
          <w:ilvl w:val="0"/>
          <w:numId w:val="4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Arial" w:eastAsia="Times New Roman" w:hAnsi="Arial" w:cs="Arial"/>
          <w:color w:val="000000"/>
          <w:sz w:val="23"/>
          <w:szCs w:val="23"/>
        </w:rPr>
        <w:t>Re: tables in the Review Room system - be general (look to case study - that is not rigorous enough but start from there)</w:t>
      </w: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2C" w:rsidRPr="00F72B2C" w:rsidRDefault="00F72B2C" w:rsidP="00F7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72B2C" w:rsidRPr="00F72B2C" w:rsidRDefault="00F72B2C" w:rsidP="00F72B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72B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0B3C" w:rsidRDefault="00300B3C"/>
    <w:sectPr w:rsidR="00300B3C" w:rsidSect="00F7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16"/>
    <w:multiLevelType w:val="multilevel"/>
    <w:tmpl w:val="2E9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A3481"/>
    <w:multiLevelType w:val="multilevel"/>
    <w:tmpl w:val="DF7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E13F4"/>
    <w:multiLevelType w:val="multilevel"/>
    <w:tmpl w:val="40C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351EB"/>
    <w:multiLevelType w:val="multilevel"/>
    <w:tmpl w:val="B68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E03D4"/>
    <w:multiLevelType w:val="multilevel"/>
    <w:tmpl w:val="189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108AB"/>
    <w:multiLevelType w:val="multilevel"/>
    <w:tmpl w:val="690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91B78"/>
    <w:multiLevelType w:val="multilevel"/>
    <w:tmpl w:val="047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40E4F"/>
    <w:multiLevelType w:val="multilevel"/>
    <w:tmpl w:val="605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C675D"/>
    <w:multiLevelType w:val="multilevel"/>
    <w:tmpl w:val="580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F6CB8"/>
    <w:multiLevelType w:val="multilevel"/>
    <w:tmpl w:val="1B54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D2207"/>
    <w:multiLevelType w:val="multilevel"/>
    <w:tmpl w:val="57E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72226"/>
    <w:multiLevelType w:val="multilevel"/>
    <w:tmpl w:val="AB2C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B6797"/>
    <w:multiLevelType w:val="multilevel"/>
    <w:tmpl w:val="925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1287E"/>
    <w:multiLevelType w:val="multilevel"/>
    <w:tmpl w:val="66F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C6CA8"/>
    <w:multiLevelType w:val="multilevel"/>
    <w:tmpl w:val="584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72B4E"/>
    <w:multiLevelType w:val="multilevel"/>
    <w:tmpl w:val="00B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A022C"/>
    <w:multiLevelType w:val="multilevel"/>
    <w:tmpl w:val="217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5717E"/>
    <w:multiLevelType w:val="multilevel"/>
    <w:tmpl w:val="588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A3B21"/>
    <w:multiLevelType w:val="multilevel"/>
    <w:tmpl w:val="42C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28529C"/>
    <w:multiLevelType w:val="multilevel"/>
    <w:tmpl w:val="E73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707C0"/>
    <w:multiLevelType w:val="multilevel"/>
    <w:tmpl w:val="221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179D1"/>
    <w:multiLevelType w:val="multilevel"/>
    <w:tmpl w:val="548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754A5"/>
    <w:multiLevelType w:val="multilevel"/>
    <w:tmpl w:val="032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A4084"/>
    <w:multiLevelType w:val="multilevel"/>
    <w:tmpl w:val="889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770C0"/>
    <w:multiLevelType w:val="multilevel"/>
    <w:tmpl w:val="735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22EAE"/>
    <w:multiLevelType w:val="multilevel"/>
    <w:tmpl w:val="098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6B49BC"/>
    <w:multiLevelType w:val="multilevel"/>
    <w:tmpl w:val="CAB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F1417"/>
    <w:multiLevelType w:val="multilevel"/>
    <w:tmpl w:val="DE8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54464E"/>
    <w:multiLevelType w:val="multilevel"/>
    <w:tmpl w:val="AF46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9154DC"/>
    <w:multiLevelType w:val="multilevel"/>
    <w:tmpl w:val="A9B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F6269"/>
    <w:multiLevelType w:val="multilevel"/>
    <w:tmpl w:val="564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3097A"/>
    <w:multiLevelType w:val="multilevel"/>
    <w:tmpl w:val="762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A6312"/>
    <w:multiLevelType w:val="multilevel"/>
    <w:tmpl w:val="D36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F594B"/>
    <w:multiLevelType w:val="multilevel"/>
    <w:tmpl w:val="A4A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E3106"/>
    <w:multiLevelType w:val="multilevel"/>
    <w:tmpl w:val="D0A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D3C24"/>
    <w:multiLevelType w:val="multilevel"/>
    <w:tmpl w:val="E4D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B0E86"/>
    <w:multiLevelType w:val="hybridMultilevel"/>
    <w:tmpl w:val="C3E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83B05"/>
    <w:multiLevelType w:val="multilevel"/>
    <w:tmpl w:val="EEB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6212C"/>
    <w:multiLevelType w:val="multilevel"/>
    <w:tmpl w:val="938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46A2E"/>
    <w:multiLevelType w:val="multilevel"/>
    <w:tmpl w:val="85F8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20194"/>
    <w:multiLevelType w:val="multilevel"/>
    <w:tmpl w:val="6C2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70867"/>
    <w:multiLevelType w:val="multilevel"/>
    <w:tmpl w:val="0A3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AF42DC"/>
    <w:multiLevelType w:val="multilevel"/>
    <w:tmpl w:val="722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31"/>
  </w:num>
  <w:num w:numId="10">
    <w:abstractNumId w:val="22"/>
  </w:num>
  <w:num w:numId="11">
    <w:abstractNumId w:val="15"/>
  </w:num>
  <w:num w:numId="12">
    <w:abstractNumId w:val="2"/>
  </w:num>
  <w:num w:numId="13">
    <w:abstractNumId w:val="33"/>
  </w:num>
  <w:num w:numId="14">
    <w:abstractNumId w:val="42"/>
  </w:num>
  <w:num w:numId="15">
    <w:abstractNumId w:val="28"/>
  </w:num>
  <w:num w:numId="16">
    <w:abstractNumId w:val="28"/>
    <w:lvlOverride w:ilvl="1">
      <w:lvl w:ilvl="1">
        <w:numFmt w:val="lowerLetter"/>
        <w:lvlText w:val="%2."/>
        <w:lvlJc w:val="left"/>
      </w:lvl>
    </w:lvlOverride>
  </w:num>
  <w:num w:numId="17">
    <w:abstractNumId w:val="24"/>
  </w:num>
  <w:num w:numId="18">
    <w:abstractNumId w:val="9"/>
  </w:num>
  <w:num w:numId="19">
    <w:abstractNumId w:val="16"/>
  </w:num>
  <w:num w:numId="20">
    <w:abstractNumId w:val="26"/>
  </w:num>
  <w:num w:numId="21">
    <w:abstractNumId w:val="35"/>
  </w:num>
  <w:num w:numId="22">
    <w:abstractNumId w:val="12"/>
  </w:num>
  <w:num w:numId="23">
    <w:abstractNumId w:val="41"/>
  </w:num>
  <w:num w:numId="24">
    <w:abstractNumId w:val="7"/>
  </w:num>
  <w:num w:numId="25">
    <w:abstractNumId w:val="21"/>
  </w:num>
  <w:num w:numId="26">
    <w:abstractNumId w:val="19"/>
  </w:num>
  <w:num w:numId="27">
    <w:abstractNumId w:val="0"/>
  </w:num>
  <w:num w:numId="28">
    <w:abstractNumId w:val="29"/>
  </w:num>
  <w:num w:numId="29">
    <w:abstractNumId w:val="20"/>
  </w:num>
  <w:num w:numId="30">
    <w:abstractNumId w:val="40"/>
  </w:num>
  <w:num w:numId="31">
    <w:abstractNumId w:val="18"/>
  </w:num>
  <w:num w:numId="32">
    <w:abstractNumId w:val="34"/>
  </w:num>
  <w:num w:numId="33">
    <w:abstractNumId w:val="17"/>
  </w:num>
  <w:num w:numId="34">
    <w:abstractNumId w:val="39"/>
  </w:num>
  <w:num w:numId="35">
    <w:abstractNumId w:val="32"/>
  </w:num>
  <w:num w:numId="36">
    <w:abstractNumId w:val="25"/>
  </w:num>
  <w:num w:numId="37">
    <w:abstractNumId w:val="4"/>
  </w:num>
  <w:num w:numId="38">
    <w:abstractNumId w:val="11"/>
  </w:num>
  <w:num w:numId="39">
    <w:abstractNumId w:val="1"/>
  </w:num>
  <w:num w:numId="40">
    <w:abstractNumId w:val="10"/>
  </w:num>
  <w:num w:numId="41">
    <w:abstractNumId w:val="13"/>
  </w:num>
  <w:num w:numId="42">
    <w:abstractNumId w:val="27"/>
  </w:num>
  <w:num w:numId="43">
    <w:abstractNumId w:val="23"/>
  </w:num>
  <w:num w:numId="44">
    <w:abstractNumId w:val="3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2C"/>
    <w:rsid w:val="00300B3C"/>
    <w:rsid w:val="00A8496D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B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B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2012-06-11T00:11:00Z</dcterms:created>
  <dcterms:modified xsi:type="dcterms:W3CDTF">2012-06-11T00:21:00Z</dcterms:modified>
</cp:coreProperties>
</file>