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AB" w:rsidRPr="00236BAB" w:rsidRDefault="00236BAB" w:rsidP="00236BAB">
      <w:pPr>
        <w:shd w:val="clear" w:color="auto" w:fill="FFFFFF"/>
        <w:spacing w:before="100" w:beforeAutospacing="1" w:after="300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236BAB">
        <w:rPr>
          <w:rFonts w:ascii="Arial" w:eastAsia="Times New Roman" w:hAnsi="Arial" w:cs="Arial"/>
          <w:b/>
          <w:bCs/>
          <w:color w:val="333333"/>
          <w:sz w:val="24"/>
          <w:szCs w:val="24"/>
        </w:rPr>
        <w:t>NYSED/BOR Updates Spring 2013</w:t>
      </w:r>
    </w:p>
    <w:p w:rsidR="004B0957" w:rsidRPr="00370B22" w:rsidRDefault="00D3376D" w:rsidP="004B0957">
      <w:pPr>
        <w:shd w:val="clear" w:color="auto" w:fill="FFFFFF"/>
        <w:spacing w:before="100" w:beforeAutospacing="1" w:after="30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Excerpt </w:t>
      </w:r>
      <w:r w:rsidR="004B0957" w:rsidRPr="00370B2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from Ken </w:t>
      </w:r>
      <w:proofErr w:type="spellStart"/>
      <w:r w:rsidR="004B0957" w:rsidRPr="00370B2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Slentz</w:t>
      </w:r>
      <w:proofErr w:type="spellEnd"/>
      <w:r w:rsidR="004B0957" w:rsidRPr="00370B2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March 2013 Memo on Transition to the Common Core</w:t>
      </w:r>
    </w:p>
    <w:p w:rsidR="004B0957" w:rsidRPr="00370B22" w:rsidRDefault="004B0957" w:rsidP="004B0957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48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>2012-13 Grades 3-8 Assessments:</w:t>
      </w:r>
    </w:p>
    <w:p w:rsidR="004B0957" w:rsidRPr="00370B22" w:rsidRDefault="004B0957" w:rsidP="004B0957">
      <w:pPr>
        <w:numPr>
          <w:ilvl w:val="1"/>
          <w:numId w:val="2"/>
        </w:numPr>
        <w:shd w:val="clear" w:color="auto" w:fill="FFFFFF"/>
        <w:spacing w:before="100" w:beforeAutospacing="1" w:after="105" w:line="270" w:lineRule="atLeast"/>
        <w:ind w:left="96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New York State, for the first time, will be reporting student grade-level expectations against a trajectory of college- and career-readiness as measured by tests fully reflective of the Common Core and, as a result, </w:t>
      </w:r>
      <w:r w:rsidRPr="00370B22">
        <w:rPr>
          <w:rFonts w:ascii="Arial" w:eastAsia="Times New Roman" w:hAnsi="Arial" w:cs="Arial"/>
          <w:b/>
          <w:color w:val="333333"/>
          <w:sz w:val="24"/>
          <w:szCs w:val="24"/>
        </w:rPr>
        <w:t>the number of students who score at or above grade level expectations will likely decrease</w:t>
      </w: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4B0957" w:rsidRPr="00370B22" w:rsidRDefault="004B0957" w:rsidP="004B0957">
      <w:pPr>
        <w:numPr>
          <w:ilvl w:val="1"/>
          <w:numId w:val="2"/>
        </w:numPr>
        <w:shd w:val="clear" w:color="auto" w:fill="FFFFFF"/>
        <w:spacing w:before="100" w:beforeAutospacing="1" w:after="105" w:line="270" w:lineRule="atLeast"/>
        <w:ind w:left="96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The number of students meeting or exceeding Common Core grade-level expectations </w:t>
      </w:r>
      <w:r w:rsidRPr="00370B22">
        <w:rPr>
          <w:rFonts w:ascii="Arial" w:eastAsia="Times New Roman" w:hAnsi="Arial" w:cs="Arial"/>
          <w:b/>
          <w:color w:val="333333"/>
          <w:sz w:val="24"/>
          <w:szCs w:val="24"/>
        </w:rPr>
        <w:t>should not necessarily be interpreted as a decline in student learning or as a decline in educator performance</w:t>
      </w: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. Instead, the results from these new assessments will give educators, parents, policymakers, and the public a more realistic picture of where students are on their path to being well prepared for the world that awaits them after they graduate from high school. </w:t>
      </w:r>
    </w:p>
    <w:p w:rsidR="004B0957" w:rsidRPr="00370B22" w:rsidRDefault="004B0957" w:rsidP="004B0957">
      <w:pPr>
        <w:numPr>
          <w:ilvl w:val="1"/>
          <w:numId w:val="2"/>
        </w:numPr>
        <w:shd w:val="clear" w:color="auto" w:fill="FFFFFF"/>
        <w:spacing w:before="100" w:beforeAutospacing="1" w:after="105" w:line="270" w:lineRule="atLeast"/>
        <w:ind w:left="96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It is important to note that </w:t>
      </w:r>
      <w:r w:rsidRPr="00370B22">
        <w:rPr>
          <w:rFonts w:ascii="Arial" w:eastAsia="Times New Roman" w:hAnsi="Arial" w:cs="Arial"/>
          <w:b/>
          <w:color w:val="333333"/>
          <w:sz w:val="24"/>
          <w:szCs w:val="24"/>
        </w:rPr>
        <w:t>no new districts will be identified as Focus Districts and no new schools will be identified as Priority Schools based on 2012-13 assessment results</w:t>
      </w:r>
      <w:r w:rsidRPr="00370B2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B0957" w:rsidRPr="00370B22" w:rsidRDefault="004B0957" w:rsidP="004B0957">
      <w:pPr>
        <w:numPr>
          <w:ilvl w:val="1"/>
          <w:numId w:val="2"/>
        </w:numPr>
        <w:shd w:val="clear" w:color="auto" w:fill="FFFFFF"/>
        <w:spacing w:before="100" w:beforeAutospacing="1" w:after="105" w:line="270" w:lineRule="atLeast"/>
        <w:ind w:left="96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We have consulted with the vendor that developed the State-provided growth model, and </w:t>
      </w:r>
      <w:r w:rsidRPr="00370B22">
        <w:rPr>
          <w:rFonts w:ascii="Arial" w:eastAsia="Times New Roman" w:hAnsi="Arial" w:cs="Arial"/>
          <w:b/>
          <w:color w:val="333333"/>
          <w:sz w:val="24"/>
          <w:szCs w:val="24"/>
        </w:rPr>
        <w:t>we expect that the State-provided growth scores will result in similar proportions of educators earning each rating category (Highly Effective, Effective, Developing, and Ineffective) in 2012-13 compared to 2011-12</w:t>
      </w: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, despite the anticipated lower percentage of students who score at grade level against a trajectory of college- and career-readiness as measured by tests fully reflective of the Common Core. </w:t>
      </w:r>
    </w:p>
    <w:p w:rsidR="004B0957" w:rsidRPr="00370B22" w:rsidRDefault="004B0957" w:rsidP="004B0957">
      <w:pPr>
        <w:numPr>
          <w:ilvl w:val="1"/>
          <w:numId w:val="2"/>
        </w:numPr>
        <w:shd w:val="clear" w:color="auto" w:fill="FFFFFF"/>
        <w:spacing w:before="100" w:beforeAutospacing="1" w:line="270" w:lineRule="atLeast"/>
        <w:ind w:left="960"/>
        <w:rPr>
          <w:rFonts w:ascii="Arial" w:eastAsia="Times New Roman" w:hAnsi="Arial" w:cs="Arial"/>
          <w:color w:val="333333"/>
          <w:sz w:val="24"/>
          <w:szCs w:val="24"/>
        </w:rPr>
      </w:pP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We expect that </w:t>
      </w:r>
      <w:r w:rsidRPr="00370B22">
        <w:rPr>
          <w:rFonts w:ascii="Arial" w:eastAsia="Times New Roman" w:hAnsi="Arial" w:cs="Arial"/>
          <w:b/>
          <w:color w:val="333333"/>
          <w:sz w:val="24"/>
          <w:szCs w:val="24"/>
        </w:rPr>
        <w:t>local policies and practices will balance the need for increased rigor against legitimate student expectations</w:t>
      </w:r>
      <w:r w:rsidRPr="00370B22">
        <w:rPr>
          <w:rFonts w:ascii="Arial" w:eastAsia="Times New Roman" w:hAnsi="Arial" w:cs="Arial"/>
          <w:color w:val="333333"/>
          <w:sz w:val="24"/>
          <w:szCs w:val="24"/>
        </w:rPr>
        <w:t xml:space="preserve"> for access to educational programs, including local promotion and admission policies. </w:t>
      </w:r>
    </w:p>
    <w:p w:rsidR="004737A0" w:rsidRPr="00370B22" w:rsidRDefault="004B0957">
      <w:pPr>
        <w:rPr>
          <w:rFonts w:ascii="Arial" w:hAnsi="Arial" w:cs="Arial"/>
          <w:b/>
          <w:sz w:val="24"/>
          <w:szCs w:val="24"/>
        </w:rPr>
      </w:pPr>
      <w:r w:rsidRPr="00370B22">
        <w:rPr>
          <w:rFonts w:ascii="Arial" w:hAnsi="Arial" w:cs="Arial"/>
          <w:b/>
          <w:sz w:val="24"/>
          <w:szCs w:val="24"/>
        </w:rPr>
        <w:t>From Recent Board of Regents Meetings</w:t>
      </w:r>
    </w:p>
    <w:p w:rsidR="004B0957" w:rsidRDefault="004D76B7" w:rsidP="000D4D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SUNY and CUNY results on numbers and </w:t>
      </w:r>
      <w:r w:rsidR="00102858" w:rsidRPr="00370B22">
        <w:rPr>
          <w:rFonts w:ascii="Arial" w:hAnsi="Arial" w:cs="Arial"/>
          <w:sz w:val="24"/>
          <w:szCs w:val="24"/>
        </w:rPr>
        <w:t>costs of remediation, retention and graduation rates were linked to K-12 performance on aspirational measures</w:t>
      </w:r>
      <w:r w:rsidR="00D3376D">
        <w:rPr>
          <w:rFonts w:ascii="Arial" w:hAnsi="Arial" w:cs="Arial"/>
          <w:sz w:val="24"/>
          <w:szCs w:val="24"/>
        </w:rPr>
        <w:t xml:space="preserve"> for ELA and Math and College and Career Readiness (74% graduation rate in NYS with only 34% meeting College and Career Readiness standards were cited.)</w:t>
      </w:r>
    </w:p>
    <w:p w:rsidR="00102858" w:rsidRPr="00370B22" w:rsidRDefault="00102858" w:rsidP="001028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B22">
        <w:rPr>
          <w:rFonts w:ascii="Arial" w:hAnsi="Arial" w:cs="Arial"/>
          <w:sz w:val="24"/>
          <w:szCs w:val="24"/>
        </w:rPr>
        <w:t>The BOR reviewed proposed amendments to graduation options for students with disabilities in order to replace the IEP diploma. This measure is expected to go into effect in July 2013.</w:t>
      </w:r>
      <w:r w:rsidR="00370B22">
        <w:rPr>
          <w:rFonts w:ascii="Arial" w:hAnsi="Arial" w:cs="Arial"/>
          <w:sz w:val="24"/>
          <w:szCs w:val="24"/>
        </w:rPr>
        <w:t xml:space="preserve"> The percentage of students a district</w:t>
      </w:r>
      <w:r w:rsidR="00236BAB">
        <w:rPr>
          <w:rFonts w:ascii="Arial" w:hAnsi="Arial" w:cs="Arial"/>
          <w:sz w:val="24"/>
          <w:szCs w:val="24"/>
        </w:rPr>
        <w:t xml:space="preserve"> graduates with this credential</w:t>
      </w:r>
      <w:r w:rsidR="00370B22">
        <w:rPr>
          <w:rFonts w:ascii="Arial" w:hAnsi="Arial" w:cs="Arial"/>
          <w:sz w:val="24"/>
          <w:szCs w:val="24"/>
        </w:rPr>
        <w:t xml:space="preserve"> will face stricter expectations regarding their use of ESEA funding.</w:t>
      </w:r>
    </w:p>
    <w:p w:rsidR="00102858" w:rsidRPr="00370B22" w:rsidRDefault="00102858" w:rsidP="00102858">
      <w:pPr>
        <w:pStyle w:val="ListParagraph"/>
        <w:rPr>
          <w:rFonts w:ascii="Arial" w:hAnsi="Arial" w:cs="Arial"/>
          <w:sz w:val="24"/>
          <w:szCs w:val="24"/>
        </w:rPr>
      </w:pPr>
    </w:p>
    <w:sectPr w:rsidR="00102858" w:rsidRPr="00370B22" w:rsidSect="00B4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F8D"/>
    <w:multiLevelType w:val="hybridMultilevel"/>
    <w:tmpl w:val="BCD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42B4"/>
    <w:multiLevelType w:val="multilevel"/>
    <w:tmpl w:val="C9D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57"/>
    <w:rsid w:val="000A7165"/>
    <w:rsid w:val="000D4D47"/>
    <w:rsid w:val="00102858"/>
    <w:rsid w:val="00236BAB"/>
    <w:rsid w:val="00370B22"/>
    <w:rsid w:val="004737A0"/>
    <w:rsid w:val="004B0957"/>
    <w:rsid w:val="004D76B7"/>
    <w:rsid w:val="00972D7C"/>
    <w:rsid w:val="00B001FD"/>
    <w:rsid w:val="00B407E9"/>
    <w:rsid w:val="00CF705F"/>
    <w:rsid w:val="00D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5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957"/>
    <w:rPr>
      <w:b/>
      <w:bCs/>
    </w:rPr>
  </w:style>
  <w:style w:type="paragraph" w:styleId="ListParagraph">
    <w:name w:val="List Paragraph"/>
    <w:basedOn w:val="Normal"/>
    <w:uiPriority w:val="34"/>
    <w:qFormat/>
    <w:rsid w:val="000D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5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957"/>
    <w:rPr>
      <w:b/>
      <w:bCs/>
    </w:rPr>
  </w:style>
  <w:style w:type="paragraph" w:styleId="ListParagraph">
    <w:name w:val="List Paragraph"/>
    <w:basedOn w:val="Normal"/>
    <w:uiPriority w:val="34"/>
    <w:qFormat/>
    <w:rsid w:val="000D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74">
                  <w:marLeft w:val="0"/>
                  <w:marRight w:val="150"/>
                  <w:marTop w:val="225"/>
                  <w:marBottom w:val="300"/>
                  <w:divBdr>
                    <w:top w:val="none" w:sz="0" w:space="0" w:color="auto"/>
                    <w:left w:val="single" w:sz="12" w:space="0" w:color="608BB8"/>
                    <w:bottom w:val="none" w:sz="0" w:space="0" w:color="auto"/>
                    <w:right w:val="none" w:sz="0" w:space="0" w:color="auto"/>
                  </w:divBdr>
                  <w:divsChild>
                    <w:div w:id="982201013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15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028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Maguire</dc:creator>
  <cp:lastModifiedBy>Theresa Gray</cp:lastModifiedBy>
  <cp:revision>2</cp:revision>
  <dcterms:created xsi:type="dcterms:W3CDTF">2013-03-13T14:44:00Z</dcterms:created>
  <dcterms:modified xsi:type="dcterms:W3CDTF">2013-03-13T14:44:00Z</dcterms:modified>
</cp:coreProperties>
</file>