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0060A" w:rsidRPr="00703003" w:rsidTr="0020060A">
        <w:tc>
          <w:tcPr>
            <w:tcW w:w="4788" w:type="dxa"/>
          </w:tcPr>
          <w:p w:rsidR="0020060A" w:rsidRPr="00703003" w:rsidRDefault="0020060A">
            <w:pPr>
              <w:rPr>
                <w:rFonts w:ascii="Arial" w:hAnsi="Arial" w:cs="Arial"/>
                <w:b/>
              </w:rPr>
            </w:pPr>
            <w:r w:rsidRPr="00703003">
              <w:rPr>
                <w:rFonts w:ascii="Arial" w:hAnsi="Arial" w:cs="Arial"/>
                <w:b/>
              </w:rPr>
              <w:t>Tenet and Statements of Practice</w:t>
            </w:r>
          </w:p>
        </w:tc>
        <w:tc>
          <w:tcPr>
            <w:tcW w:w="4788" w:type="dxa"/>
          </w:tcPr>
          <w:p w:rsidR="0020060A" w:rsidRPr="00703003" w:rsidRDefault="0020060A">
            <w:pPr>
              <w:rPr>
                <w:rFonts w:ascii="Arial" w:hAnsi="Arial" w:cs="Arial"/>
                <w:b/>
              </w:rPr>
            </w:pPr>
            <w:r w:rsidRPr="00703003">
              <w:rPr>
                <w:rFonts w:ascii="Arial" w:hAnsi="Arial" w:cs="Arial"/>
                <w:b/>
              </w:rPr>
              <w:t>Possible Evidence</w:t>
            </w:r>
            <w:r w:rsidR="00D401E2" w:rsidRPr="00703003">
              <w:rPr>
                <w:rFonts w:ascii="Arial" w:hAnsi="Arial" w:cs="Arial"/>
                <w:b/>
              </w:rPr>
              <w:t xml:space="preserve"> Sources</w:t>
            </w:r>
          </w:p>
        </w:tc>
      </w:tr>
      <w:tr w:rsidR="0020060A" w:rsidRPr="00703003" w:rsidTr="009058DA">
        <w:trPr>
          <w:trHeight w:val="1527"/>
        </w:trPr>
        <w:tc>
          <w:tcPr>
            <w:tcW w:w="4788" w:type="dxa"/>
            <w:shd w:val="clear" w:color="auto" w:fill="FFFFFF" w:themeFill="background1"/>
          </w:tcPr>
          <w:tbl>
            <w:tblPr>
              <w:tblW w:w="0" w:type="auto"/>
              <w:tblBorders>
                <w:top w:val="nil"/>
                <w:left w:val="nil"/>
                <w:bottom w:val="nil"/>
                <w:right w:val="nil"/>
              </w:tblBorders>
              <w:tblLook w:val="0000"/>
            </w:tblPr>
            <w:tblGrid>
              <w:gridCol w:w="4572"/>
            </w:tblGrid>
            <w:tr w:rsidR="009058DA" w:rsidRPr="00703003">
              <w:trPr>
                <w:trHeight w:val="114"/>
              </w:trPr>
              <w:tc>
                <w:tcPr>
                  <w:tcW w:w="0" w:type="auto"/>
                </w:tcPr>
                <w:p w:rsidR="009058DA" w:rsidRDefault="009058DA">
                  <w:pPr>
                    <w:pStyle w:val="Default"/>
                    <w:rPr>
                      <w:rFonts w:ascii="Arial" w:hAnsi="Arial" w:cs="Arial"/>
                      <w:sz w:val="22"/>
                      <w:szCs w:val="22"/>
                    </w:rPr>
                  </w:pPr>
                  <w:r w:rsidRPr="00703003">
                    <w:rPr>
                      <w:rFonts w:ascii="Arial" w:hAnsi="Arial" w:cs="Arial"/>
                      <w:b/>
                      <w:bCs/>
                      <w:sz w:val="22"/>
                      <w:szCs w:val="22"/>
                    </w:rPr>
                    <w:t xml:space="preserve">Tenet 2 - School Leader Practices and Decisions: </w:t>
                  </w:r>
                  <w:r w:rsidRPr="00703003">
                    <w:rPr>
                      <w:rFonts w:ascii="Arial" w:hAnsi="Arial" w:cs="Arial"/>
                      <w:sz w:val="22"/>
                      <w:szCs w:val="22"/>
                    </w:rPr>
                    <w:t xml:space="preserve">Visionary leaders create a school community and culture that lead to success, well-being and high academic outcomes for all students via systems of continuous and sustainable school improvement. </w:t>
                  </w:r>
                </w:p>
                <w:p w:rsidR="00703003" w:rsidRPr="00703003" w:rsidRDefault="00703003">
                  <w:pPr>
                    <w:pStyle w:val="Default"/>
                    <w:rPr>
                      <w:rFonts w:ascii="Arial" w:hAnsi="Arial" w:cs="Arial"/>
                      <w:sz w:val="22"/>
                      <w:szCs w:val="22"/>
                    </w:rPr>
                  </w:pPr>
                </w:p>
              </w:tc>
            </w:tr>
          </w:tbl>
          <w:p w:rsidR="0020060A" w:rsidRPr="00703003" w:rsidRDefault="0020060A">
            <w:pPr>
              <w:rPr>
                <w:rFonts w:ascii="Arial" w:hAnsi="Arial" w:cs="Arial"/>
              </w:rPr>
            </w:pPr>
          </w:p>
        </w:tc>
        <w:tc>
          <w:tcPr>
            <w:tcW w:w="4788" w:type="dxa"/>
            <w:shd w:val="clear" w:color="auto" w:fill="FFFFFF" w:themeFill="background1"/>
          </w:tcPr>
          <w:p w:rsidR="0020060A" w:rsidRPr="00703003" w:rsidRDefault="00526214">
            <w:pPr>
              <w:rPr>
                <w:rFonts w:ascii="Arial" w:hAnsi="Arial" w:cs="Arial"/>
              </w:rPr>
            </w:pPr>
            <w:r w:rsidRPr="00703003">
              <w:rPr>
                <w:rFonts w:ascii="Arial" w:hAnsi="Arial" w:cs="Arial"/>
              </w:rPr>
              <w:t>School building improvement plans</w:t>
            </w:r>
          </w:p>
          <w:p w:rsidR="00526214" w:rsidRPr="00703003" w:rsidRDefault="00526214">
            <w:pPr>
              <w:rPr>
                <w:rFonts w:ascii="Arial" w:hAnsi="Arial" w:cs="Arial"/>
              </w:rPr>
            </w:pPr>
            <w:r w:rsidRPr="00703003">
              <w:rPr>
                <w:rFonts w:ascii="Arial" w:hAnsi="Arial" w:cs="Arial"/>
              </w:rPr>
              <w:t>School building leader observation and APPR plans</w:t>
            </w:r>
          </w:p>
          <w:p w:rsidR="00526214" w:rsidRPr="00703003" w:rsidRDefault="00526214">
            <w:pPr>
              <w:rPr>
                <w:rFonts w:ascii="Arial" w:hAnsi="Arial" w:cs="Arial"/>
              </w:rPr>
            </w:pPr>
            <w:r w:rsidRPr="00703003">
              <w:rPr>
                <w:rFonts w:ascii="Arial" w:hAnsi="Arial" w:cs="Arial"/>
              </w:rPr>
              <w:t>Teacher interviews/surveys</w:t>
            </w:r>
          </w:p>
          <w:p w:rsidR="00526214" w:rsidRPr="00703003" w:rsidRDefault="00526214">
            <w:pPr>
              <w:rPr>
                <w:rFonts w:ascii="Arial" w:hAnsi="Arial" w:cs="Arial"/>
              </w:rPr>
            </w:pPr>
            <w:r w:rsidRPr="00703003">
              <w:rPr>
                <w:rFonts w:ascii="Arial" w:hAnsi="Arial" w:cs="Arial"/>
              </w:rPr>
              <w:t>Student interviews/surveys</w:t>
            </w:r>
          </w:p>
          <w:p w:rsidR="00526214" w:rsidRDefault="00526214">
            <w:pPr>
              <w:rPr>
                <w:rFonts w:ascii="Arial" w:hAnsi="Arial" w:cs="Arial"/>
              </w:rPr>
            </w:pPr>
            <w:r w:rsidRPr="00703003">
              <w:rPr>
                <w:rFonts w:ascii="Arial" w:hAnsi="Arial" w:cs="Arial"/>
              </w:rPr>
              <w:t>Parent/guardian interviews/surveys</w:t>
            </w:r>
          </w:p>
          <w:p w:rsidR="00703003" w:rsidRPr="00703003" w:rsidRDefault="00703003">
            <w:pPr>
              <w:rPr>
                <w:rFonts w:ascii="Arial" w:hAnsi="Arial" w:cs="Arial"/>
              </w:rPr>
            </w:pPr>
            <w:r>
              <w:rPr>
                <w:rFonts w:ascii="Arial" w:hAnsi="Arial" w:cs="Arial"/>
              </w:rPr>
              <w:t>School support staff interviews/surveys</w:t>
            </w:r>
          </w:p>
        </w:tc>
      </w:tr>
      <w:tr w:rsidR="009058DA" w:rsidRPr="00703003" w:rsidTr="009058DA">
        <w:trPr>
          <w:trHeight w:val="2025"/>
        </w:trPr>
        <w:tc>
          <w:tcPr>
            <w:tcW w:w="4788" w:type="dxa"/>
            <w:shd w:val="clear" w:color="auto" w:fill="FFFFFF" w:themeFill="background1"/>
          </w:tcPr>
          <w:p w:rsidR="009058DA" w:rsidRPr="00703003" w:rsidRDefault="009058DA" w:rsidP="009058DA">
            <w:pPr>
              <w:pStyle w:val="Default"/>
              <w:rPr>
                <w:rFonts w:ascii="Arial" w:hAnsi="Arial" w:cs="Arial"/>
                <w:sz w:val="22"/>
                <w:szCs w:val="22"/>
              </w:rPr>
            </w:pPr>
            <w:r w:rsidRPr="00703003">
              <w:rPr>
                <w:rFonts w:ascii="Arial" w:hAnsi="Arial" w:cs="Arial"/>
                <w:b/>
                <w:bCs/>
                <w:sz w:val="22"/>
                <w:szCs w:val="22"/>
              </w:rPr>
              <w:t>Tenet 3 - Curriculum Development and Support</w:t>
            </w:r>
            <w:r w:rsidRPr="00703003">
              <w:rPr>
                <w:rFonts w:ascii="Arial" w:hAnsi="Arial" w:cs="Arial"/>
                <w:bCs/>
                <w:sz w:val="22"/>
                <w:szCs w:val="22"/>
              </w:rPr>
              <w:t>: The school has rigorous and coherent curric</w:t>
            </w:r>
            <w:r w:rsidR="00526214" w:rsidRPr="00703003">
              <w:rPr>
                <w:rFonts w:ascii="Arial" w:hAnsi="Arial" w:cs="Arial"/>
                <w:bCs/>
                <w:sz w:val="22"/>
                <w:szCs w:val="22"/>
              </w:rPr>
              <w:t xml:space="preserve">ula and assessments that are </w:t>
            </w:r>
            <w:r w:rsidRPr="00703003">
              <w:rPr>
                <w:rFonts w:ascii="Arial" w:hAnsi="Arial" w:cs="Arial"/>
                <w:bCs/>
                <w:sz w:val="22"/>
                <w:szCs w:val="22"/>
              </w:rPr>
              <w:t xml:space="preserve">appropriately aligned to the Common Core Learning Standards (CCLS) for all students and are modified for identified subgroups in order to maximize teacher instructional practices and student-learning outcomes. </w:t>
            </w:r>
          </w:p>
          <w:p w:rsidR="009058DA" w:rsidRPr="00703003" w:rsidRDefault="009058DA" w:rsidP="009058DA">
            <w:pPr>
              <w:rPr>
                <w:rFonts w:ascii="Arial" w:hAnsi="Arial" w:cs="Arial"/>
                <w:b/>
                <w:bCs/>
              </w:rPr>
            </w:pPr>
          </w:p>
        </w:tc>
        <w:tc>
          <w:tcPr>
            <w:tcW w:w="4788" w:type="dxa"/>
            <w:shd w:val="clear" w:color="auto" w:fill="FFFFFF" w:themeFill="background1"/>
          </w:tcPr>
          <w:p w:rsidR="009058DA" w:rsidRPr="00703003" w:rsidRDefault="00526214" w:rsidP="00526214">
            <w:pPr>
              <w:rPr>
                <w:rFonts w:ascii="Arial" w:hAnsi="Arial" w:cs="Arial"/>
              </w:rPr>
            </w:pPr>
            <w:r w:rsidRPr="00703003">
              <w:rPr>
                <w:rFonts w:ascii="Arial" w:hAnsi="Arial" w:cs="Arial"/>
              </w:rPr>
              <w:t>Existing curriculum and assessments available to teachers working with students in cited subgroups</w:t>
            </w:r>
          </w:p>
          <w:p w:rsidR="00526214" w:rsidRPr="00703003" w:rsidRDefault="00526214" w:rsidP="00526214">
            <w:pPr>
              <w:rPr>
                <w:rFonts w:ascii="Arial" w:hAnsi="Arial" w:cs="Arial"/>
              </w:rPr>
            </w:pPr>
            <w:r w:rsidRPr="00703003">
              <w:rPr>
                <w:rFonts w:ascii="Arial" w:hAnsi="Arial" w:cs="Arial"/>
              </w:rPr>
              <w:t xml:space="preserve">Recent classroom observations/walkthroughs in cited subgroup settings </w:t>
            </w:r>
          </w:p>
          <w:p w:rsidR="00526214" w:rsidRPr="00703003" w:rsidRDefault="00526214" w:rsidP="00526214">
            <w:pPr>
              <w:rPr>
                <w:rFonts w:ascii="Arial" w:hAnsi="Arial" w:cs="Arial"/>
              </w:rPr>
            </w:pPr>
          </w:p>
        </w:tc>
      </w:tr>
      <w:tr w:rsidR="009058DA" w:rsidRPr="00703003" w:rsidTr="009058DA">
        <w:trPr>
          <w:trHeight w:val="1493"/>
        </w:trPr>
        <w:tc>
          <w:tcPr>
            <w:tcW w:w="4788" w:type="dxa"/>
            <w:shd w:val="clear" w:color="auto" w:fill="FFFFFF" w:themeFill="background1"/>
          </w:tcPr>
          <w:p w:rsidR="009058DA" w:rsidRPr="00703003" w:rsidRDefault="009058DA" w:rsidP="009058DA">
            <w:pPr>
              <w:rPr>
                <w:rFonts w:ascii="Arial" w:hAnsi="Arial" w:cs="Arial"/>
                <w:bCs/>
                <w:color w:val="FFFFFF"/>
              </w:rPr>
            </w:pPr>
            <w:r w:rsidRPr="00703003">
              <w:rPr>
                <w:rFonts w:ascii="Arial" w:hAnsi="Arial" w:cs="Arial"/>
                <w:b/>
                <w:bCs/>
              </w:rPr>
              <w:t xml:space="preserve">Tenet 4 </w:t>
            </w:r>
            <w:r w:rsidRPr="00703003">
              <w:rPr>
                <w:rFonts w:ascii="Cambria Math" w:hAnsi="Cambria Math" w:cs="Arial"/>
                <w:b/>
                <w:bCs/>
              </w:rPr>
              <w:t>‐</w:t>
            </w:r>
            <w:r w:rsidRPr="00703003">
              <w:rPr>
                <w:rFonts w:ascii="Arial" w:hAnsi="Arial" w:cs="Arial"/>
                <w:b/>
                <w:bCs/>
              </w:rPr>
              <w:t xml:space="preserve"> Teacher Practices and Decisions</w:t>
            </w:r>
            <w:r w:rsidRPr="00703003">
              <w:rPr>
                <w:rFonts w:ascii="Arial" w:hAnsi="Arial" w:cs="Arial"/>
                <w:bCs/>
              </w:rPr>
              <w:t>: Teachers engage in strategic practices and decision</w:t>
            </w:r>
            <w:r w:rsidRPr="00703003">
              <w:rPr>
                <w:rFonts w:ascii="Cambria Math" w:hAnsi="Cambria Math" w:cs="Arial"/>
                <w:bCs/>
              </w:rPr>
              <w:t>‐</w:t>
            </w:r>
            <w:r w:rsidRPr="00703003">
              <w:rPr>
                <w:rFonts w:ascii="Arial" w:hAnsi="Arial" w:cs="Arial"/>
                <w:bCs/>
              </w:rPr>
              <w:t xml:space="preserve">making in order to address the gap between what students know and need to learn, so that all students and pertinent subgroups experience consistent high levels of engagement, thinking and achievement. </w:t>
            </w:r>
            <w:r w:rsidRPr="00703003">
              <w:rPr>
                <w:rFonts w:ascii="Arial" w:hAnsi="Arial" w:cs="Arial"/>
                <w:bCs/>
                <w:color w:val="FFFFFF"/>
              </w:rPr>
              <w:t xml:space="preserve">4 </w:t>
            </w:r>
            <w:r w:rsidRPr="00703003">
              <w:rPr>
                <w:rFonts w:ascii="Cambria Math" w:hAnsi="Cambria Math" w:cs="Arial"/>
                <w:bCs/>
                <w:color w:val="FFFFFF"/>
              </w:rPr>
              <w:t>‐</w:t>
            </w:r>
            <w:r w:rsidRPr="00703003">
              <w:rPr>
                <w:rFonts w:ascii="Arial" w:hAnsi="Arial" w:cs="Arial"/>
                <w:bCs/>
                <w:color w:val="FFFFFF"/>
              </w:rPr>
              <w:t xml:space="preserve">Practices and Decisions: Teachers engage in strategic practices and </w:t>
            </w:r>
          </w:p>
        </w:tc>
        <w:tc>
          <w:tcPr>
            <w:tcW w:w="4788" w:type="dxa"/>
            <w:shd w:val="clear" w:color="auto" w:fill="FFFFFF" w:themeFill="background1"/>
          </w:tcPr>
          <w:p w:rsidR="009058DA" w:rsidRPr="00703003" w:rsidRDefault="00526214" w:rsidP="0031428E">
            <w:pPr>
              <w:rPr>
                <w:rFonts w:ascii="Arial" w:hAnsi="Arial" w:cs="Arial"/>
              </w:rPr>
            </w:pPr>
            <w:r w:rsidRPr="00703003">
              <w:rPr>
                <w:rFonts w:ascii="Arial" w:hAnsi="Arial" w:cs="Arial"/>
              </w:rPr>
              <w:t>Recent classroom o</w:t>
            </w:r>
            <w:r w:rsidR="009058DA" w:rsidRPr="00703003">
              <w:rPr>
                <w:rFonts w:ascii="Arial" w:hAnsi="Arial" w:cs="Arial"/>
              </w:rPr>
              <w:t>bservations</w:t>
            </w:r>
            <w:r w:rsidRPr="00703003">
              <w:rPr>
                <w:rFonts w:ascii="Arial" w:hAnsi="Arial" w:cs="Arial"/>
              </w:rPr>
              <w:t>/w</w:t>
            </w:r>
            <w:r w:rsidR="009058DA" w:rsidRPr="00703003">
              <w:rPr>
                <w:rFonts w:ascii="Arial" w:hAnsi="Arial" w:cs="Arial"/>
              </w:rPr>
              <w:t>alkthrough</w:t>
            </w:r>
            <w:r w:rsidRPr="00703003">
              <w:rPr>
                <w:rFonts w:ascii="Arial" w:hAnsi="Arial" w:cs="Arial"/>
              </w:rPr>
              <w:t>s in cited subgroup s</w:t>
            </w:r>
            <w:r w:rsidR="009058DA" w:rsidRPr="00703003">
              <w:rPr>
                <w:rFonts w:ascii="Arial" w:hAnsi="Arial" w:cs="Arial"/>
              </w:rPr>
              <w:t xml:space="preserve">ettings </w:t>
            </w:r>
          </w:p>
          <w:p w:rsidR="00703003" w:rsidRPr="00703003" w:rsidRDefault="00703003" w:rsidP="0031428E">
            <w:pPr>
              <w:rPr>
                <w:rFonts w:ascii="Arial" w:hAnsi="Arial" w:cs="Arial"/>
              </w:rPr>
            </w:pPr>
            <w:r w:rsidRPr="00703003">
              <w:rPr>
                <w:rFonts w:ascii="Arial" w:hAnsi="Arial" w:cs="Arial"/>
              </w:rPr>
              <w:t>Observing teacher planning and student study team meetings</w:t>
            </w:r>
          </w:p>
          <w:p w:rsidR="009058DA" w:rsidRPr="00703003" w:rsidRDefault="009058DA" w:rsidP="0031428E">
            <w:pPr>
              <w:rPr>
                <w:rFonts w:ascii="Arial" w:hAnsi="Arial" w:cs="Arial"/>
              </w:rPr>
            </w:pPr>
          </w:p>
        </w:tc>
      </w:tr>
      <w:tr w:rsidR="009058DA" w:rsidRPr="00703003" w:rsidTr="009058DA">
        <w:trPr>
          <w:trHeight w:val="1817"/>
        </w:trPr>
        <w:tc>
          <w:tcPr>
            <w:tcW w:w="4788" w:type="dxa"/>
          </w:tcPr>
          <w:tbl>
            <w:tblPr>
              <w:tblW w:w="0" w:type="auto"/>
              <w:tblBorders>
                <w:top w:val="nil"/>
                <w:left w:val="nil"/>
                <w:bottom w:val="nil"/>
                <w:right w:val="nil"/>
              </w:tblBorders>
              <w:tblLook w:val="0000"/>
            </w:tblPr>
            <w:tblGrid>
              <w:gridCol w:w="4572"/>
            </w:tblGrid>
            <w:tr w:rsidR="009058DA" w:rsidRPr="00703003">
              <w:trPr>
                <w:trHeight w:val="224"/>
              </w:trPr>
              <w:tc>
                <w:tcPr>
                  <w:tcW w:w="0" w:type="auto"/>
                </w:tcPr>
                <w:p w:rsidR="009058DA" w:rsidRPr="00703003" w:rsidRDefault="009058DA">
                  <w:pPr>
                    <w:pStyle w:val="Default"/>
                    <w:rPr>
                      <w:rFonts w:ascii="Arial" w:hAnsi="Arial" w:cs="Arial"/>
                      <w:sz w:val="22"/>
                      <w:szCs w:val="22"/>
                    </w:rPr>
                  </w:pPr>
                  <w:r w:rsidRPr="00703003">
                    <w:rPr>
                      <w:rFonts w:ascii="Arial" w:hAnsi="Arial" w:cs="Arial"/>
                      <w:b/>
                      <w:bCs/>
                      <w:sz w:val="22"/>
                      <w:szCs w:val="22"/>
                    </w:rPr>
                    <w:t xml:space="preserve">Tenet 5 - Student Social and Emotional Developmental Health: </w:t>
                  </w:r>
                  <w:r w:rsidRPr="00703003">
                    <w:rPr>
                      <w:rFonts w:ascii="Arial" w:hAnsi="Arial" w:cs="Arial"/>
                      <w:sz w:val="22"/>
                      <w:szCs w:val="22"/>
                    </w:rPr>
                    <w:t xml:space="preserve">The school community identifies, promotes, and supports social and emotional development by designing systems and experiences that lead to healthy relationships and a safe, respectful environment that is conducive to learning for all constituents. </w:t>
                  </w:r>
                </w:p>
              </w:tc>
            </w:tr>
          </w:tbl>
          <w:p w:rsidR="009058DA" w:rsidRPr="00703003" w:rsidRDefault="009058DA" w:rsidP="009058DA">
            <w:pPr>
              <w:rPr>
                <w:rFonts w:ascii="Arial" w:hAnsi="Arial" w:cs="Arial"/>
                <w:bCs/>
                <w:color w:val="FFFFFF"/>
              </w:rPr>
            </w:pPr>
          </w:p>
        </w:tc>
        <w:tc>
          <w:tcPr>
            <w:tcW w:w="4788" w:type="dxa"/>
          </w:tcPr>
          <w:p w:rsidR="009058DA" w:rsidRPr="00703003" w:rsidRDefault="00526214">
            <w:pPr>
              <w:rPr>
                <w:rFonts w:ascii="Arial" w:hAnsi="Arial" w:cs="Arial"/>
              </w:rPr>
            </w:pPr>
            <w:r w:rsidRPr="00703003">
              <w:rPr>
                <w:rFonts w:ascii="Arial" w:hAnsi="Arial" w:cs="Arial"/>
              </w:rPr>
              <w:t>Student support staff interviews/surveys</w:t>
            </w:r>
          </w:p>
          <w:p w:rsidR="00526214" w:rsidRPr="00703003" w:rsidRDefault="00526214" w:rsidP="00526214">
            <w:pPr>
              <w:rPr>
                <w:rFonts w:ascii="Arial" w:hAnsi="Arial" w:cs="Arial"/>
              </w:rPr>
            </w:pPr>
            <w:r w:rsidRPr="00703003">
              <w:rPr>
                <w:rFonts w:ascii="Arial" w:hAnsi="Arial" w:cs="Arial"/>
              </w:rPr>
              <w:t>Teacher interviews/surveys</w:t>
            </w:r>
          </w:p>
          <w:p w:rsidR="00526214" w:rsidRPr="00703003" w:rsidRDefault="00526214" w:rsidP="00526214">
            <w:pPr>
              <w:rPr>
                <w:rFonts w:ascii="Arial" w:hAnsi="Arial" w:cs="Arial"/>
              </w:rPr>
            </w:pPr>
            <w:r w:rsidRPr="00703003">
              <w:rPr>
                <w:rFonts w:ascii="Arial" w:hAnsi="Arial" w:cs="Arial"/>
              </w:rPr>
              <w:t>Student interviews/surveys</w:t>
            </w:r>
          </w:p>
          <w:p w:rsidR="00526214" w:rsidRPr="00703003" w:rsidRDefault="00526214" w:rsidP="00526214">
            <w:pPr>
              <w:rPr>
                <w:rFonts w:ascii="Arial" w:hAnsi="Arial" w:cs="Arial"/>
              </w:rPr>
            </w:pPr>
            <w:r w:rsidRPr="00703003">
              <w:rPr>
                <w:rFonts w:ascii="Arial" w:hAnsi="Arial" w:cs="Arial"/>
              </w:rPr>
              <w:t>Parent/guardian interviews/surveys</w:t>
            </w:r>
          </w:p>
        </w:tc>
      </w:tr>
      <w:tr w:rsidR="009058DA" w:rsidRPr="00703003" w:rsidTr="0020060A">
        <w:trPr>
          <w:trHeight w:val="1185"/>
        </w:trPr>
        <w:tc>
          <w:tcPr>
            <w:tcW w:w="4788" w:type="dxa"/>
          </w:tcPr>
          <w:tbl>
            <w:tblPr>
              <w:tblW w:w="0" w:type="auto"/>
              <w:tblBorders>
                <w:top w:val="nil"/>
                <w:left w:val="nil"/>
                <w:bottom w:val="nil"/>
                <w:right w:val="nil"/>
              </w:tblBorders>
              <w:tblLook w:val="0000"/>
            </w:tblPr>
            <w:tblGrid>
              <w:gridCol w:w="4572"/>
            </w:tblGrid>
            <w:tr w:rsidR="009058DA" w:rsidRPr="00703003">
              <w:trPr>
                <w:trHeight w:val="225"/>
              </w:trPr>
              <w:tc>
                <w:tcPr>
                  <w:tcW w:w="0" w:type="auto"/>
                </w:tcPr>
                <w:p w:rsidR="009058DA" w:rsidRPr="00703003" w:rsidRDefault="009058DA">
                  <w:pPr>
                    <w:pStyle w:val="Default"/>
                    <w:rPr>
                      <w:rFonts w:ascii="Arial" w:hAnsi="Arial" w:cs="Arial"/>
                      <w:sz w:val="22"/>
                      <w:szCs w:val="22"/>
                    </w:rPr>
                  </w:pPr>
                  <w:r w:rsidRPr="00703003">
                    <w:rPr>
                      <w:rFonts w:ascii="Arial" w:hAnsi="Arial" w:cs="Arial"/>
                      <w:b/>
                      <w:bCs/>
                      <w:sz w:val="22"/>
                      <w:szCs w:val="22"/>
                    </w:rPr>
                    <w:t xml:space="preserve">Tenet 6 - Family and Community Engagement: </w:t>
                  </w:r>
                  <w:r w:rsidRPr="00703003">
                    <w:rPr>
                      <w:rFonts w:ascii="Arial" w:hAnsi="Arial" w:cs="Arial"/>
                      <w:sz w:val="22"/>
                      <w:szCs w:val="22"/>
                    </w:rPr>
                    <w:t xml:space="preserve">The school creates a culture of partnership where families, community members and school staff work together to share in the responsibility for student academic progress and social-emotional growth and well-being. </w:t>
                  </w:r>
                </w:p>
              </w:tc>
            </w:tr>
            <w:tr w:rsidR="009058DA" w:rsidRPr="00703003">
              <w:trPr>
                <w:trHeight w:val="114"/>
              </w:trPr>
              <w:tc>
                <w:tcPr>
                  <w:tcW w:w="0" w:type="auto"/>
                </w:tcPr>
                <w:p w:rsidR="009058DA" w:rsidRPr="00703003" w:rsidRDefault="009058DA">
                  <w:pPr>
                    <w:pStyle w:val="Default"/>
                    <w:rPr>
                      <w:rFonts w:ascii="Arial" w:hAnsi="Arial" w:cs="Arial"/>
                      <w:sz w:val="22"/>
                      <w:szCs w:val="22"/>
                    </w:rPr>
                  </w:pPr>
                </w:p>
              </w:tc>
            </w:tr>
          </w:tbl>
          <w:p w:rsidR="009058DA" w:rsidRPr="00703003" w:rsidRDefault="009058DA" w:rsidP="0020060A">
            <w:pPr>
              <w:rPr>
                <w:rFonts w:ascii="Arial" w:hAnsi="Arial" w:cs="Arial"/>
                <w:bCs/>
                <w:color w:val="FFFFFF"/>
              </w:rPr>
            </w:pPr>
          </w:p>
        </w:tc>
        <w:tc>
          <w:tcPr>
            <w:tcW w:w="4788" w:type="dxa"/>
          </w:tcPr>
          <w:p w:rsidR="00526214" w:rsidRPr="00703003" w:rsidRDefault="00526214" w:rsidP="00526214">
            <w:pPr>
              <w:rPr>
                <w:rFonts w:ascii="Arial" w:hAnsi="Arial" w:cs="Arial"/>
              </w:rPr>
            </w:pPr>
            <w:r w:rsidRPr="00703003">
              <w:rPr>
                <w:rFonts w:ascii="Arial" w:hAnsi="Arial" w:cs="Arial"/>
              </w:rPr>
              <w:t>Student interviews/surveys</w:t>
            </w:r>
          </w:p>
          <w:p w:rsidR="009058DA" w:rsidRPr="00703003" w:rsidRDefault="00526214" w:rsidP="00526214">
            <w:pPr>
              <w:rPr>
                <w:rFonts w:ascii="Arial" w:hAnsi="Arial" w:cs="Arial"/>
              </w:rPr>
            </w:pPr>
            <w:r w:rsidRPr="00703003">
              <w:rPr>
                <w:rFonts w:ascii="Arial" w:hAnsi="Arial" w:cs="Arial"/>
              </w:rPr>
              <w:t>Parent/guardian interviews/surveys</w:t>
            </w:r>
          </w:p>
          <w:p w:rsidR="00727393" w:rsidRPr="00703003" w:rsidRDefault="00727393" w:rsidP="00526214">
            <w:pPr>
              <w:rPr>
                <w:rFonts w:ascii="Arial" w:hAnsi="Arial" w:cs="Arial"/>
              </w:rPr>
            </w:pPr>
            <w:r w:rsidRPr="00703003">
              <w:rPr>
                <w:rFonts w:ascii="Arial" w:hAnsi="Arial" w:cs="Arial"/>
              </w:rPr>
              <w:t>School website, calendar, newsletters</w:t>
            </w:r>
          </w:p>
          <w:p w:rsidR="00727393" w:rsidRPr="00703003" w:rsidRDefault="00727393" w:rsidP="00526214">
            <w:pPr>
              <w:rPr>
                <w:rFonts w:ascii="Arial" w:hAnsi="Arial" w:cs="Arial"/>
              </w:rPr>
            </w:pPr>
          </w:p>
        </w:tc>
      </w:tr>
    </w:tbl>
    <w:p w:rsidR="008F0909" w:rsidRPr="00703003" w:rsidRDefault="008F0909">
      <w:pPr>
        <w:rPr>
          <w:rFonts w:ascii="Arial" w:hAnsi="Arial" w:cs="Arial"/>
        </w:rPr>
      </w:pPr>
    </w:p>
    <w:sectPr w:rsidR="008F0909" w:rsidRPr="00703003" w:rsidSect="00966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60A"/>
    <w:rsid w:val="0020060A"/>
    <w:rsid w:val="0033081C"/>
    <w:rsid w:val="003A49F1"/>
    <w:rsid w:val="00526214"/>
    <w:rsid w:val="005903C4"/>
    <w:rsid w:val="00703003"/>
    <w:rsid w:val="00727393"/>
    <w:rsid w:val="008F0909"/>
    <w:rsid w:val="009058DA"/>
    <w:rsid w:val="009668AA"/>
    <w:rsid w:val="00D401E2"/>
    <w:rsid w:val="00F6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58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Maguire</dc:creator>
  <cp:lastModifiedBy>Erie-2 BOCES</cp:lastModifiedBy>
  <cp:revision>2</cp:revision>
  <dcterms:created xsi:type="dcterms:W3CDTF">2013-09-20T12:22:00Z</dcterms:created>
  <dcterms:modified xsi:type="dcterms:W3CDTF">2013-09-20T12:22:00Z</dcterms:modified>
</cp:coreProperties>
</file>